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D08" w:rsidRPr="00FF5FD8" w:rsidRDefault="00577D08" w:rsidP="00577D08">
      <w:pPr>
        <w:spacing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FF5FD8">
        <w:rPr>
          <w:rFonts w:eastAsia="Times New Roman" w:cs="Times New Roman"/>
          <w:szCs w:val="24"/>
          <w:lang w:eastAsia="pl-PL"/>
        </w:rPr>
        <w:t>Załącznik nr 1</w:t>
      </w:r>
    </w:p>
    <w:p w:rsidR="00342349" w:rsidRDefault="00577D08" w:rsidP="00342349">
      <w:pPr>
        <w:spacing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FF5FD8">
        <w:rPr>
          <w:rFonts w:eastAsia="Times New Roman" w:cs="Times New Roman"/>
          <w:szCs w:val="24"/>
          <w:lang w:eastAsia="pl-PL"/>
        </w:rPr>
        <w:t>Do Zarządzenia nr OP.0050.</w:t>
      </w:r>
      <w:r w:rsidR="00342349">
        <w:rPr>
          <w:rFonts w:eastAsia="Times New Roman" w:cs="Times New Roman"/>
          <w:szCs w:val="24"/>
          <w:lang w:eastAsia="pl-PL"/>
        </w:rPr>
        <w:t>10</w:t>
      </w:r>
      <w:r w:rsidRPr="00FF5FD8">
        <w:rPr>
          <w:rFonts w:eastAsia="Times New Roman" w:cs="Times New Roman"/>
          <w:szCs w:val="24"/>
          <w:lang w:eastAsia="pl-PL"/>
        </w:rPr>
        <w:t>.201</w:t>
      </w:r>
      <w:r w:rsidR="00CA6149" w:rsidRPr="00FF5FD8">
        <w:rPr>
          <w:rFonts w:eastAsia="Times New Roman" w:cs="Times New Roman"/>
          <w:szCs w:val="24"/>
          <w:lang w:eastAsia="pl-PL"/>
        </w:rPr>
        <w:t>9</w:t>
      </w:r>
      <w:r w:rsidR="00342349">
        <w:rPr>
          <w:rFonts w:eastAsia="Times New Roman" w:cs="Times New Roman"/>
          <w:szCs w:val="24"/>
          <w:lang w:eastAsia="pl-PL"/>
        </w:rPr>
        <w:t xml:space="preserve"> </w:t>
      </w:r>
    </w:p>
    <w:p w:rsidR="00342349" w:rsidRDefault="00342349" w:rsidP="00342349">
      <w:pPr>
        <w:spacing w:line="240" w:lineRule="auto"/>
        <w:jc w:val="right"/>
        <w:rPr>
          <w:rFonts w:eastAsia="Times New Roman" w:cs="Times New Roman"/>
          <w:szCs w:val="24"/>
          <w:lang w:eastAsia="pl-PL"/>
        </w:rPr>
      </w:pPr>
      <w:r>
        <w:rPr>
          <w:rFonts w:eastAsia="Times New Roman" w:cs="Times New Roman"/>
          <w:szCs w:val="24"/>
          <w:lang w:eastAsia="pl-PL"/>
        </w:rPr>
        <w:t xml:space="preserve">  </w:t>
      </w:r>
      <w:r w:rsidR="00577D08" w:rsidRPr="00FF5FD8">
        <w:rPr>
          <w:rFonts w:eastAsia="Times New Roman" w:cs="Times New Roman"/>
          <w:szCs w:val="24"/>
          <w:lang w:eastAsia="pl-PL"/>
        </w:rPr>
        <w:t xml:space="preserve">Wójta Gminy Przemęt z dnia </w:t>
      </w:r>
      <w:r w:rsidR="00CA6149" w:rsidRPr="00FF5FD8">
        <w:rPr>
          <w:rFonts w:eastAsia="Times New Roman" w:cs="Times New Roman"/>
          <w:szCs w:val="24"/>
          <w:lang w:eastAsia="pl-PL"/>
        </w:rPr>
        <w:t>30 stycznia</w:t>
      </w:r>
      <w:r w:rsidR="00577D08" w:rsidRPr="00FF5FD8">
        <w:rPr>
          <w:rFonts w:eastAsia="Times New Roman" w:cs="Times New Roman"/>
          <w:szCs w:val="24"/>
          <w:lang w:eastAsia="pl-PL"/>
        </w:rPr>
        <w:t xml:space="preserve"> 201</w:t>
      </w:r>
      <w:r w:rsidR="00CA6149" w:rsidRPr="00FF5FD8">
        <w:rPr>
          <w:rFonts w:eastAsia="Times New Roman" w:cs="Times New Roman"/>
          <w:szCs w:val="24"/>
          <w:lang w:eastAsia="pl-PL"/>
        </w:rPr>
        <w:t>9</w:t>
      </w:r>
      <w:r w:rsidR="00577D08" w:rsidRPr="00FF5FD8">
        <w:rPr>
          <w:rFonts w:eastAsia="Times New Roman" w:cs="Times New Roman"/>
          <w:szCs w:val="24"/>
          <w:lang w:eastAsia="pl-PL"/>
        </w:rPr>
        <w:t>r.</w:t>
      </w:r>
    </w:p>
    <w:p w:rsidR="00342349" w:rsidRPr="00FF5FD8" w:rsidRDefault="00342349" w:rsidP="00342349">
      <w:pPr>
        <w:spacing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FF5FD8">
        <w:rPr>
          <w:rFonts w:eastAsia="Times New Roman" w:cs="Times New Roman"/>
          <w:szCs w:val="24"/>
          <w:lang w:eastAsia="pl-PL"/>
        </w:rPr>
        <w:t xml:space="preserve"> </w:t>
      </w:r>
    </w:p>
    <w:p w:rsidR="00577D08" w:rsidRDefault="00577D08" w:rsidP="00A5338E">
      <w:pPr>
        <w:jc w:val="center"/>
        <w:rPr>
          <w:rFonts w:cs="Times New Roman"/>
          <w:b/>
          <w:bCs/>
        </w:rPr>
      </w:pPr>
    </w:p>
    <w:p w:rsidR="00A5338E" w:rsidRDefault="00A5338E" w:rsidP="00A5338E">
      <w:pPr>
        <w:jc w:val="center"/>
        <w:rPr>
          <w:rFonts w:cs="Times New Roman"/>
          <w:b/>
          <w:bCs/>
        </w:rPr>
      </w:pPr>
      <w:r w:rsidRPr="00A5338E">
        <w:rPr>
          <w:rFonts w:cs="Times New Roman"/>
          <w:b/>
          <w:bCs/>
        </w:rPr>
        <w:t xml:space="preserve">Instrukcja sporządzania informacji dodatkowej przez jednostki organizacyjne </w:t>
      </w:r>
    </w:p>
    <w:p w:rsidR="00A5338E" w:rsidRDefault="00A5338E" w:rsidP="00A5338E">
      <w:pPr>
        <w:jc w:val="center"/>
        <w:rPr>
          <w:rFonts w:cs="Times New Roman"/>
          <w:b/>
          <w:bCs/>
        </w:rPr>
      </w:pPr>
      <w:r w:rsidRPr="00A5338E">
        <w:rPr>
          <w:rFonts w:cs="Times New Roman"/>
          <w:b/>
          <w:bCs/>
        </w:rPr>
        <w:t xml:space="preserve">Gminy </w:t>
      </w:r>
      <w:r>
        <w:rPr>
          <w:rFonts w:cs="Times New Roman"/>
          <w:b/>
          <w:bCs/>
        </w:rPr>
        <w:t>Przemęt</w:t>
      </w:r>
    </w:p>
    <w:p w:rsidR="00A5338E" w:rsidRDefault="00A5338E" w:rsidP="00A5338E">
      <w:pPr>
        <w:jc w:val="center"/>
        <w:rPr>
          <w:rFonts w:cs="Times New Roman"/>
          <w:b/>
          <w:bCs/>
        </w:rPr>
      </w:pPr>
    </w:p>
    <w:p w:rsidR="00A5338E" w:rsidRPr="00A5338E" w:rsidRDefault="00A5338E" w:rsidP="00A5338E">
      <w:pPr>
        <w:jc w:val="both"/>
        <w:rPr>
          <w:rFonts w:cs="Times New Roman"/>
        </w:rPr>
      </w:pPr>
      <w:r>
        <w:rPr>
          <w:rFonts w:cs="Times New Roman"/>
          <w:b/>
        </w:rPr>
        <w:t xml:space="preserve">§ 1. </w:t>
      </w:r>
      <w:r w:rsidRPr="00A5338E">
        <w:rPr>
          <w:rFonts w:cs="Times New Roman"/>
        </w:rPr>
        <w:t xml:space="preserve">Na dzień zamknięcia ksiąg rachunkowych jednostki sporządzają sprawozdanie finansowe składające się z: </w:t>
      </w:r>
    </w:p>
    <w:p w:rsidR="00A5338E" w:rsidRPr="00A5338E" w:rsidRDefault="00A5338E" w:rsidP="00A5338E">
      <w:pPr>
        <w:jc w:val="both"/>
        <w:rPr>
          <w:rFonts w:cs="Times New Roman"/>
        </w:rPr>
      </w:pPr>
      <w:r>
        <w:rPr>
          <w:rFonts w:cs="Times New Roman"/>
        </w:rPr>
        <w:t xml:space="preserve">- </w:t>
      </w:r>
      <w:r w:rsidRPr="00A5338E">
        <w:rPr>
          <w:rFonts w:cs="Times New Roman"/>
        </w:rPr>
        <w:t xml:space="preserve">bilansu, </w:t>
      </w:r>
    </w:p>
    <w:p w:rsidR="00A5338E" w:rsidRPr="00A5338E" w:rsidRDefault="00A5338E" w:rsidP="00A5338E">
      <w:pPr>
        <w:jc w:val="both"/>
        <w:rPr>
          <w:rFonts w:cs="Times New Roman"/>
        </w:rPr>
      </w:pPr>
      <w:r>
        <w:rPr>
          <w:rFonts w:cs="Times New Roman"/>
        </w:rPr>
        <w:t xml:space="preserve">- </w:t>
      </w:r>
      <w:r w:rsidRPr="00A5338E">
        <w:rPr>
          <w:rFonts w:cs="Times New Roman"/>
        </w:rPr>
        <w:t xml:space="preserve">rachunku zysków i strat (wariant porównawczy), </w:t>
      </w:r>
    </w:p>
    <w:p w:rsidR="00A5338E" w:rsidRPr="00A5338E" w:rsidRDefault="00A5338E" w:rsidP="00A5338E">
      <w:pPr>
        <w:jc w:val="both"/>
        <w:rPr>
          <w:rFonts w:cs="Times New Roman"/>
        </w:rPr>
      </w:pPr>
      <w:r>
        <w:rPr>
          <w:rFonts w:cs="Times New Roman"/>
        </w:rPr>
        <w:t xml:space="preserve">- </w:t>
      </w:r>
      <w:r w:rsidRPr="00A5338E">
        <w:rPr>
          <w:rFonts w:cs="Times New Roman"/>
        </w:rPr>
        <w:t xml:space="preserve">zestawienia zmian w funduszu, </w:t>
      </w:r>
    </w:p>
    <w:p w:rsidR="00A5338E" w:rsidRPr="00A5338E" w:rsidRDefault="00A5338E" w:rsidP="00A5338E">
      <w:pPr>
        <w:jc w:val="both"/>
        <w:rPr>
          <w:rFonts w:cs="Times New Roman"/>
        </w:rPr>
      </w:pPr>
      <w:r>
        <w:rPr>
          <w:rFonts w:cs="Times New Roman"/>
        </w:rPr>
        <w:t xml:space="preserve">- </w:t>
      </w:r>
      <w:r w:rsidRPr="00A5338E">
        <w:rPr>
          <w:rFonts w:cs="Times New Roman"/>
        </w:rPr>
        <w:t xml:space="preserve">informacji dodatkowej. </w:t>
      </w:r>
    </w:p>
    <w:p w:rsidR="00A5338E" w:rsidRPr="00A5338E" w:rsidRDefault="00A5338E" w:rsidP="00A5338E">
      <w:pPr>
        <w:jc w:val="both"/>
        <w:rPr>
          <w:rFonts w:cs="Times New Roman"/>
        </w:rPr>
      </w:pPr>
      <w:r>
        <w:rPr>
          <w:rFonts w:cs="Times New Roman"/>
          <w:b/>
        </w:rPr>
        <w:t xml:space="preserve">§ 2. </w:t>
      </w:r>
      <w:r w:rsidRPr="00A5338E">
        <w:rPr>
          <w:rFonts w:cs="Times New Roman"/>
        </w:rPr>
        <w:t xml:space="preserve">Informacja dodatkowa powinna zawierać dane w zakresie ustalonym w załączniku nr 12 do rozporządzenia Ministra Rozwoju i Finansów z dnia 13 września 2017 r. w sprawie rachunkowości oraz planów kont dla budżetu państwa, budżetów jednostek samorządu terytorialnego, jednostek budżetowych, samorządowych zakładów budżetowych, państwowych funduszy celowych oraz państwowych jednostek budżetowych mających siedzibę poza granicami Rzeczypospolitej Polskiej </w:t>
      </w:r>
      <w:r w:rsidR="001D35AE">
        <w:rPr>
          <w:rFonts w:cs="Times New Roman"/>
        </w:rPr>
        <w:t>(</w:t>
      </w:r>
      <w:r w:rsidR="001D35AE" w:rsidRPr="001D35AE">
        <w:rPr>
          <w:rFonts w:cs="Times New Roman"/>
        </w:rPr>
        <w:t>Dz. U. z 2017 r. poz. 1911 i z 2018 r. poz. 2471</w:t>
      </w:r>
      <w:r w:rsidRPr="00A5338E">
        <w:rPr>
          <w:rFonts w:cs="Times New Roman"/>
        </w:rPr>
        <w:t xml:space="preserve">). </w:t>
      </w:r>
    </w:p>
    <w:p w:rsidR="00A5338E" w:rsidRPr="00A5338E" w:rsidRDefault="00A5338E" w:rsidP="00A5338E">
      <w:pPr>
        <w:jc w:val="both"/>
        <w:rPr>
          <w:rFonts w:cs="Times New Roman"/>
        </w:rPr>
      </w:pPr>
      <w:r>
        <w:rPr>
          <w:rFonts w:cs="Times New Roman"/>
          <w:b/>
        </w:rPr>
        <w:t xml:space="preserve">§ 3. </w:t>
      </w:r>
      <w:r w:rsidRPr="00A5338E">
        <w:rPr>
          <w:rFonts w:cs="Times New Roman"/>
        </w:rPr>
        <w:t xml:space="preserve">W części I Wprowadzenie do sprawozdania finansowego, należy wykazać następujące informacje: </w:t>
      </w:r>
    </w:p>
    <w:p w:rsidR="00A5338E" w:rsidRPr="00A5338E" w:rsidRDefault="00A5338E" w:rsidP="00A5338E">
      <w:pPr>
        <w:jc w:val="both"/>
        <w:rPr>
          <w:rFonts w:cs="Times New Roman"/>
        </w:rPr>
      </w:pPr>
      <w:r w:rsidRPr="00A5338E">
        <w:rPr>
          <w:rFonts w:cs="Times New Roman"/>
        </w:rPr>
        <w:t xml:space="preserve">a) nazwę jednostki, </w:t>
      </w:r>
    </w:p>
    <w:p w:rsidR="00A5338E" w:rsidRPr="00A5338E" w:rsidRDefault="00A5338E" w:rsidP="00A5338E">
      <w:pPr>
        <w:jc w:val="both"/>
        <w:rPr>
          <w:rFonts w:cs="Times New Roman"/>
        </w:rPr>
      </w:pPr>
      <w:r w:rsidRPr="00A5338E">
        <w:rPr>
          <w:rFonts w:cs="Times New Roman"/>
        </w:rPr>
        <w:t xml:space="preserve">b) siedzibę jednostki, </w:t>
      </w:r>
    </w:p>
    <w:p w:rsidR="00A5338E" w:rsidRPr="00A5338E" w:rsidRDefault="00A5338E" w:rsidP="00A5338E">
      <w:pPr>
        <w:jc w:val="both"/>
        <w:rPr>
          <w:rFonts w:cs="Times New Roman"/>
        </w:rPr>
      </w:pPr>
      <w:r w:rsidRPr="00A5338E">
        <w:rPr>
          <w:rFonts w:cs="Times New Roman"/>
        </w:rPr>
        <w:t xml:space="preserve">c) adres jednostki, </w:t>
      </w:r>
    </w:p>
    <w:p w:rsidR="00A5338E" w:rsidRPr="00A5338E" w:rsidRDefault="00A5338E" w:rsidP="00A5338E">
      <w:pPr>
        <w:jc w:val="both"/>
        <w:rPr>
          <w:rFonts w:cs="Times New Roman"/>
        </w:rPr>
      </w:pPr>
      <w:r w:rsidRPr="00A5338E">
        <w:rPr>
          <w:rFonts w:cs="Times New Roman"/>
        </w:rPr>
        <w:t xml:space="preserve">d) podstawowy przedmiot działalności jednostki, </w:t>
      </w:r>
    </w:p>
    <w:p w:rsidR="00A5338E" w:rsidRPr="00A5338E" w:rsidRDefault="00A5338E" w:rsidP="00A5338E">
      <w:pPr>
        <w:jc w:val="both"/>
        <w:rPr>
          <w:rFonts w:cs="Times New Roman"/>
        </w:rPr>
      </w:pPr>
      <w:r w:rsidRPr="00A5338E">
        <w:rPr>
          <w:rFonts w:cs="Times New Roman"/>
        </w:rPr>
        <w:t xml:space="preserve">e) wskazanie okresu objętego sprawozdaniem, </w:t>
      </w:r>
    </w:p>
    <w:p w:rsidR="00A5338E" w:rsidRPr="00A5338E" w:rsidRDefault="00A5338E" w:rsidP="00A5338E">
      <w:pPr>
        <w:jc w:val="both"/>
        <w:rPr>
          <w:rFonts w:cs="Times New Roman"/>
        </w:rPr>
      </w:pPr>
      <w:r w:rsidRPr="00A5338E">
        <w:rPr>
          <w:rFonts w:cs="Times New Roman"/>
        </w:rPr>
        <w:t xml:space="preserve">f) wskazanie, że sprawozdanie </w:t>
      </w:r>
      <w:r w:rsidR="004A5037">
        <w:rPr>
          <w:rFonts w:cs="Times New Roman"/>
        </w:rPr>
        <w:t xml:space="preserve">finansowe </w:t>
      </w:r>
      <w:r w:rsidRPr="00A5338E">
        <w:rPr>
          <w:rFonts w:cs="Times New Roman"/>
        </w:rPr>
        <w:t>zawiera dane łączne</w:t>
      </w:r>
      <w:r w:rsidR="004A5037">
        <w:rPr>
          <w:rFonts w:cs="Times New Roman"/>
        </w:rPr>
        <w:t>,</w:t>
      </w:r>
    </w:p>
    <w:p w:rsidR="00A5338E" w:rsidRDefault="00A5338E" w:rsidP="00A5338E">
      <w:pPr>
        <w:jc w:val="both"/>
        <w:rPr>
          <w:rFonts w:cs="Times New Roman"/>
        </w:rPr>
      </w:pPr>
      <w:r w:rsidRPr="00A5338E">
        <w:rPr>
          <w:rFonts w:cs="Times New Roman"/>
        </w:rPr>
        <w:t>g) omówienie przyjętych zasad rachunkowości</w:t>
      </w:r>
      <w:r w:rsidR="004A5037">
        <w:rPr>
          <w:rFonts w:cs="Times New Roman"/>
        </w:rPr>
        <w:t xml:space="preserve">, w tym </w:t>
      </w:r>
      <w:r w:rsidRPr="00A5338E">
        <w:rPr>
          <w:rFonts w:cs="Times New Roman"/>
        </w:rPr>
        <w:t>metod wyceny aktywów i pasywów</w:t>
      </w:r>
      <w:r w:rsidR="004A5037">
        <w:rPr>
          <w:rFonts w:cs="Times New Roman"/>
        </w:rPr>
        <w:t xml:space="preserve"> </w:t>
      </w:r>
      <w:r w:rsidR="00AC062C">
        <w:rPr>
          <w:rFonts w:cs="Times New Roman"/>
        </w:rPr>
        <w:t>(także</w:t>
      </w:r>
      <w:r w:rsidRPr="00A5338E">
        <w:rPr>
          <w:rFonts w:cs="Times New Roman"/>
        </w:rPr>
        <w:t xml:space="preserve"> amortyzacj</w:t>
      </w:r>
      <w:r w:rsidR="00AC062C">
        <w:rPr>
          <w:rFonts w:cs="Times New Roman"/>
        </w:rPr>
        <w:t>a),</w:t>
      </w:r>
    </w:p>
    <w:p w:rsidR="00F26223" w:rsidRPr="00A5338E" w:rsidRDefault="00F26223" w:rsidP="00A5338E">
      <w:pPr>
        <w:jc w:val="both"/>
        <w:rPr>
          <w:rFonts w:cs="Times New Roman"/>
        </w:rPr>
      </w:pPr>
      <w:r>
        <w:rPr>
          <w:rFonts w:cs="Times New Roman"/>
        </w:rPr>
        <w:t>h) inne informacje.</w:t>
      </w:r>
    </w:p>
    <w:p w:rsidR="00A5338E" w:rsidRPr="00A5338E" w:rsidRDefault="00A5338E" w:rsidP="00A5338E">
      <w:pPr>
        <w:jc w:val="both"/>
        <w:rPr>
          <w:rFonts w:cs="Times New Roman"/>
        </w:rPr>
      </w:pPr>
      <w:r>
        <w:rPr>
          <w:rFonts w:cs="Times New Roman"/>
          <w:b/>
        </w:rPr>
        <w:t xml:space="preserve">§ 4. </w:t>
      </w:r>
      <w:r w:rsidRPr="00A5338E">
        <w:rPr>
          <w:rFonts w:cs="Times New Roman"/>
        </w:rPr>
        <w:t xml:space="preserve">W części II Dodatkowe informacje i objaśnienia należy wykazać następujące informacje: </w:t>
      </w:r>
    </w:p>
    <w:p w:rsidR="00A5338E" w:rsidRPr="00A5338E" w:rsidRDefault="00A5338E" w:rsidP="00A5338E">
      <w:pPr>
        <w:jc w:val="both"/>
        <w:rPr>
          <w:rFonts w:cs="Times New Roman"/>
        </w:rPr>
      </w:pPr>
      <w:r w:rsidRPr="00A5338E">
        <w:rPr>
          <w:rFonts w:cs="Times New Roman"/>
        </w:rPr>
        <w:t xml:space="preserve">a) Punkt 1.1. </w:t>
      </w:r>
    </w:p>
    <w:p w:rsidR="00A5338E" w:rsidRPr="00A5338E" w:rsidRDefault="00A5338E" w:rsidP="00A5338E">
      <w:pPr>
        <w:jc w:val="both"/>
        <w:rPr>
          <w:rFonts w:cs="Times New Roman"/>
        </w:rPr>
      </w:pPr>
      <w:r w:rsidRPr="00A5338E">
        <w:rPr>
          <w:rFonts w:cs="Times New Roman"/>
          <w:b/>
          <w:bCs/>
          <w:i/>
          <w:iCs/>
        </w:rPr>
        <w:t xml:space="preserve">Szczegółowy zakres zmian wartości grup rodzajowych środków trwałych, wartości niematerialnych i prawnych, zawierający stan tych aktywów na początek roku obrotowego, </w:t>
      </w:r>
      <w:r w:rsidR="00AA0EF0" w:rsidRPr="00A5338E">
        <w:rPr>
          <w:rFonts w:cs="Times New Roman"/>
          <w:b/>
          <w:bCs/>
          <w:i/>
          <w:iCs/>
        </w:rPr>
        <w:t xml:space="preserve">zwiększenia </w:t>
      </w:r>
      <w:r w:rsidR="00AA0EF0">
        <w:rPr>
          <w:rFonts w:cs="Times New Roman"/>
          <w:b/>
          <w:bCs/>
          <w:i/>
          <w:iCs/>
        </w:rPr>
        <w:t xml:space="preserve">i </w:t>
      </w:r>
      <w:r w:rsidRPr="00A5338E">
        <w:rPr>
          <w:rFonts w:cs="Times New Roman"/>
          <w:b/>
          <w:bCs/>
          <w:i/>
          <w:iCs/>
        </w:rPr>
        <w:t xml:space="preserve">zmniejszenia </w:t>
      </w:r>
      <w:r w:rsidR="00AA0EF0">
        <w:rPr>
          <w:rFonts w:cs="Times New Roman"/>
          <w:b/>
          <w:bCs/>
          <w:i/>
          <w:iCs/>
        </w:rPr>
        <w:t>z</w:t>
      </w:r>
      <w:r w:rsidRPr="00A5338E">
        <w:rPr>
          <w:rFonts w:cs="Times New Roman"/>
          <w:b/>
          <w:bCs/>
          <w:i/>
          <w:iCs/>
        </w:rPr>
        <w:t xml:space="preserve"> tytułu: aktualizacji wartości, nabycia, rozchodu, przemieszczenia wewnętrznego oraz stan końcowy</w:t>
      </w:r>
      <w:r w:rsidR="004A5037">
        <w:rPr>
          <w:rFonts w:cs="Times New Roman"/>
          <w:b/>
          <w:bCs/>
          <w:i/>
          <w:iCs/>
        </w:rPr>
        <w:t>,</w:t>
      </w:r>
      <w:r w:rsidRPr="00A5338E">
        <w:rPr>
          <w:rFonts w:cs="Times New Roman"/>
          <w:b/>
          <w:bCs/>
          <w:i/>
          <w:iCs/>
        </w:rPr>
        <w:t xml:space="preserve"> a dla majątku amortyzowanego – podobne przedstawienie stanów i tytułów zmian dotychczasowej amortyzacji</w:t>
      </w:r>
      <w:r w:rsidR="00AA0EF0">
        <w:rPr>
          <w:rFonts w:cs="Times New Roman"/>
          <w:b/>
          <w:bCs/>
          <w:i/>
          <w:iCs/>
        </w:rPr>
        <w:t xml:space="preserve"> lub umorzeń</w:t>
      </w:r>
      <w:r w:rsidRPr="00A5338E">
        <w:rPr>
          <w:rFonts w:cs="Times New Roman"/>
          <w:b/>
          <w:bCs/>
          <w:i/>
          <w:iCs/>
        </w:rPr>
        <w:t xml:space="preserve">. </w:t>
      </w:r>
    </w:p>
    <w:p w:rsidR="000A2A23" w:rsidRDefault="00A5338E" w:rsidP="00A5338E">
      <w:pPr>
        <w:jc w:val="both"/>
        <w:rPr>
          <w:rFonts w:cs="Times New Roman"/>
        </w:rPr>
      </w:pPr>
      <w:r w:rsidRPr="00A5338E">
        <w:rPr>
          <w:rFonts w:cs="Times New Roman"/>
        </w:rPr>
        <w:t xml:space="preserve">Informacje te należy przedstawić w formie </w:t>
      </w:r>
      <w:r w:rsidR="00696AA5">
        <w:rPr>
          <w:rFonts w:cs="Times New Roman"/>
        </w:rPr>
        <w:t xml:space="preserve">poniższej </w:t>
      </w:r>
      <w:r w:rsidR="001359AB">
        <w:rPr>
          <w:rFonts w:cs="Times New Roman"/>
        </w:rPr>
        <w:t>t</w:t>
      </w:r>
      <w:r w:rsidR="008A7DE0">
        <w:rPr>
          <w:rFonts w:cs="Times New Roman"/>
        </w:rPr>
        <w:t>abel</w:t>
      </w:r>
      <w:r w:rsidR="00696AA5">
        <w:rPr>
          <w:rFonts w:cs="Times New Roman"/>
        </w:rPr>
        <w:t>i</w:t>
      </w:r>
      <w:r w:rsidR="008A7DE0">
        <w:rPr>
          <w:rFonts w:cs="Times New Roman"/>
        </w:rPr>
        <w:t xml:space="preserve"> nr 1 </w:t>
      </w:r>
      <w:r w:rsidR="001359AB">
        <w:rPr>
          <w:rFonts w:cs="Times New Roman"/>
        </w:rPr>
        <w:t xml:space="preserve"> i t</w:t>
      </w:r>
      <w:r w:rsidR="008A7DE0">
        <w:rPr>
          <w:rFonts w:cs="Times New Roman"/>
        </w:rPr>
        <w:t>abel</w:t>
      </w:r>
      <w:r w:rsidR="00696AA5">
        <w:rPr>
          <w:rFonts w:cs="Times New Roman"/>
        </w:rPr>
        <w:t>i</w:t>
      </w:r>
      <w:r w:rsidR="00AA0EF0">
        <w:rPr>
          <w:rFonts w:cs="Times New Roman"/>
        </w:rPr>
        <w:t xml:space="preserve"> </w:t>
      </w:r>
      <w:r w:rsidR="001359AB">
        <w:rPr>
          <w:rFonts w:cs="Times New Roman"/>
        </w:rPr>
        <w:t>n</w:t>
      </w:r>
      <w:r w:rsidR="008A7DE0">
        <w:rPr>
          <w:rFonts w:cs="Times New Roman"/>
        </w:rPr>
        <w:t>r 2</w:t>
      </w:r>
      <w:r w:rsidR="00696AA5">
        <w:rPr>
          <w:rFonts w:cs="Times New Roman"/>
        </w:rPr>
        <w:t>.</w:t>
      </w:r>
    </w:p>
    <w:p w:rsidR="002E61CA" w:rsidRDefault="002E61CA" w:rsidP="00A5338E">
      <w:pPr>
        <w:jc w:val="both"/>
        <w:rPr>
          <w:rFonts w:cs="Times New Roman"/>
        </w:rPr>
      </w:pPr>
    </w:p>
    <w:p w:rsidR="002E61CA" w:rsidRDefault="002E61CA" w:rsidP="00A5338E">
      <w:pPr>
        <w:jc w:val="both"/>
        <w:rPr>
          <w:rFonts w:cs="Times New Roman"/>
        </w:rPr>
      </w:pPr>
    </w:p>
    <w:p w:rsidR="002E61CA" w:rsidRDefault="002E61CA" w:rsidP="00A5338E">
      <w:pPr>
        <w:jc w:val="both"/>
        <w:rPr>
          <w:rFonts w:cs="Times New Roman"/>
        </w:rPr>
      </w:pPr>
    </w:p>
    <w:p w:rsidR="002E61CA" w:rsidRDefault="002E61CA" w:rsidP="00A5338E">
      <w:pPr>
        <w:jc w:val="both"/>
        <w:rPr>
          <w:rFonts w:cs="Times New Roman"/>
        </w:rPr>
      </w:pPr>
    </w:p>
    <w:p w:rsidR="002E61CA" w:rsidRPr="002E61CA" w:rsidRDefault="002E61CA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  <w:r w:rsidRPr="002E61CA">
        <w:rPr>
          <w:rFonts w:eastAsia="Times New Roman" w:cs="Times New Roman"/>
          <w:b/>
          <w:sz w:val="20"/>
          <w:szCs w:val="20"/>
          <w:lang w:eastAsia="pl-PL"/>
        </w:rPr>
        <w:lastRenderedPageBreak/>
        <w:t>Tabela 1. Zmiany stanu wartości początkowej wartości niematerialnych i prawnych oraz rzeczowych aktywów trwałych</w:t>
      </w:r>
    </w:p>
    <w:p w:rsidR="002E61CA" w:rsidRP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tbl>
      <w:tblPr>
        <w:tblW w:w="5261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1"/>
        <w:gridCol w:w="1179"/>
        <w:gridCol w:w="1018"/>
        <w:gridCol w:w="647"/>
        <w:gridCol w:w="647"/>
        <w:gridCol w:w="835"/>
        <w:gridCol w:w="928"/>
        <w:gridCol w:w="555"/>
        <w:gridCol w:w="649"/>
        <w:gridCol w:w="555"/>
        <w:gridCol w:w="835"/>
        <w:gridCol w:w="1294"/>
      </w:tblGrid>
      <w:tr w:rsidR="002E61CA" w:rsidRPr="002E61CA" w:rsidTr="00C31D04">
        <w:tc>
          <w:tcPr>
            <w:tcW w:w="323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603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</w:t>
            </w:r>
          </w:p>
        </w:tc>
        <w:tc>
          <w:tcPr>
            <w:tcW w:w="521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Wartość początkowa – stan na początek okresu</w:t>
            </w:r>
          </w:p>
        </w:tc>
        <w:tc>
          <w:tcPr>
            <w:tcW w:w="1564" w:type="pct"/>
            <w:gridSpan w:val="4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Zwiększenia</w:t>
            </w:r>
          </w:p>
        </w:tc>
        <w:tc>
          <w:tcPr>
            <w:tcW w:w="1327" w:type="pct"/>
            <w:gridSpan w:val="4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Zmniejszenia</w:t>
            </w:r>
          </w:p>
        </w:tc>
        <w:tc>
          <w:tcPr>
            <w:tcW w:w="66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Wartość początkowa – stan na koniec okresu</w:t>
            </w:r>
          </w:p>
        </w:tc>
      </w:tr>
      <w:tr w:rsidR="002E61CA" w:rsidRPr="002E61CA" w:rsidTr="00C31D04">
        <w:tc>
          <w:tcPr>
            <w:tcW w:w="323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603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521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31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nabycie</w:t>
            </w:r>
          </w:p>
        </w:tc>
        <w:tc>
          <w:tcPr>
            <w:tcW w:w="331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przemieszczenie</w:t>
            </w:r>
          </w:p>
        </w:tc>
        <w:tc>
          <w:tcPr>
            <w:tcW w:w="427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aktualizacja</w:t>
            </w:r>
          </w:p>
        </w:tc>
        <w:tc>
          <w:tcPr>
            <w:tcW w:w="475" w:type="pct"/>
            <w:vAlign w:val="center"/>
          </w:tcPr>
          <w:p w:rsidR="002E61CA" w:rsidRPr="002E61CA" w:rsidRDefault="002E61CA" w:rsidP="002E61CA">
            <w:pPr>
              <w:spacing w:line="240" w:lineRule="auto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razem zwiększenia</w:t>
            </w:r>
          </w:p>
        </w:tc>
        <w:tc>
          <w:tcPr>
            <w:tcW w:w="284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zbycie</w:t>
            </w:r>
          </w:p>
        </w:tc>
        <w:tc>
          <w:tcPr>
            <w:tcW w:w="33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likwidacja</w:t>
            </w:r>
          </w:p>
        </w:tc>
        <w:tc>
          <w:tcPr>
            <w:tcW w:w="284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inne</w:t>
            </w:r>
          </w:p>
        </w:tc>
        <w:tc>
          <w:tcPr>
            <w:tcW w:w="427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razem zmniejszenia</w:t>
            </w:r>
          </w:p>
        </w:tc>
        <w:tc>
          <w:tcPr>
            <w:tcW w:w="66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1.1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Licencje na użytkowanie programów komputerowych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1,.2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Pozostałe wartości niematerialne i prawne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I.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 wartości niematerialne i prawne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2.1.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Grunty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2.1.1.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 xml:space="preserve">Grunty stanowiące własność </w:t>
            </w:r>
            <w:proofErr w:type="spellStart"/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jst</w:t>
            </w:r>
            <w:proofErr w:type="spellEnd"/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, przekazane w użytkowanie wieczyste innym podmiotom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2.2.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Budynki, lokale i obiekty inżynierii lądowej i wodnej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2.3.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Środki transportu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2.4.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Inne środki trwałe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 środki trwałe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Środki trwałe w budowie (inwestycje)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Zaliczki na środki trwałe w budowie (inwestycje)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II.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 rzeczowe aktywa trwałe (2+3+4)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3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2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:rsidR="002E61CA" w:rsidRP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2E61CA" w:rsidRPr="002E61CA" w:rsidRDefault="002E61CA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</w:p>
    <w:p w:rsidR="002E61CA" w:rsidRDefault="002E61CA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  <w:r w:rsidRPr="002E61CA">
        <w:rPr>
          <w:rFonts w:eastAsia="Times New Roman" w:cs="Times New Roman"/>
          <w:b/>
          <w:sz w:val="20"/>
          <w:szCs w:val="20"/>
          <w:lang w:eastAsia="pl-PL"/>
        </w:rPr>
        <w:lastRenderedPageBreak/>
        <w:t>Tabela 2. Zmiany stanu umorzenia/amortyzacji wartości niematerialnych i prawnych oraz rzeczowych składników majątku trwałego</w:t>
      </w:r>
    </w:p>
    <w:p w:rsidR="001D35AE" w:rsidRPr="002E61CA" w:rsidRDefault="001D35AE" w:rsidP="002E61CA">
      <w:pPr>
        <w:spacing w:line="240" w:lineRule="auto"/>
        <w:rPr>
          <w:rFonts w:eastAsia="Times New Roman" w:cs="Times New Roman"/>
          <w:b/>
          <w:szCs w:val="24"/>
          <w:lang w:eastAsia="pl-PL"/>
        </w:rPr>
      </w:pPr>
    </w:p>
    <w:tbl>
      <w:tblPr>
        <w:tblW w:w="5261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1179"/>
        <w:gridCol w:w="1018"/>
        <w:gridCol w:w="856"/>
        <w:gridCol w:w="569"/>
        <w:gridCol w:w="702"/>
        <w:gridCol w:w="930"/>
        <w:gridCol w:w="778"/>
        <w:gridCol w:w="711"/>
        <w:gridCol w:w="565"/>
        <w:gridCol w:w="713"/>
        <w:gridCol w:w="1122"/>
      </w:tblGrid>
      <w:tr w:rsidR="002E61CA" w:rsidRPr="002E61CA" w:rsidTr="00C31D04">
        <w:tc>
          <w:tcPr>
            <w:tcW w:w="322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603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</w:t>
            </w:r>
          </w:p>
        </w:tc>
        <w:tc>
          <w:tcPr>
            <w:tcW w:w="521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Umorzenie – stan na początek okresu</w:t>
            </w:r>
          </w:p>
        </w:tc>
        <w:tc>
          <w:tcPr>
            <w:tcW w:w="1564" w:type="pct"/>
            <w:gridSpan w:val="4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Zwiększenia</w:t>
            </w:r>
          </w:p>
        </w:tc>
        <w:tc>
          <w:tcPr>
            <w:tcW w:w="1415" w:type="pct"/>
            <w:gridSpan w:val="4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Zmniejszenia</w:t>
            </w:r>
          </w:p>
        </w:tc>
        <w:tc>
          <w:tcPr>
            <w:tcW w:w="57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Umorzenie – stan na koniec okresu</w:t>
            </w:r>
          </w:p>
        </w:tc>
      </w:tr>
      <w:tr w:rsidR="002E61CA" w:rsidRPr="002E61CA" w:rsidTr="00C31D04">
        <w:tc>
          <w:tcPr>
            <w:tcW w:w="322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603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521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438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amortyzacja/umorzenie za okres sprawozdawczy</w:t>
            </w:r>
          </w:p>
        </w:tc>
        <w:tc>
          <w:tcPr>
            <w:tcW w:w="291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aktualizacja</w:t>
            </w:r>
          </w:p>
        </w:tc>
        <w:tc>
          <w:tcPr>
            <w:tcW w:w="359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inne zwiększenia</w:t>
            </w:r>
          </w:p>
        </w:tc>
        <w:tc>
          <w:tcPr>
            <w:tcW w:w="47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razem zwiększenia</w:t>
            </w:r>
          </w:p>
        </w:tc>
        <w:tc>
          <w:tcPr>
            <w:tcW w:w="398" w:type="pct"/>
            <w:vAlign w:val="center"/>
          </w:tcPr>
          <w:p w:rsidR="00095CEF" w:rsidRDefault="00095CEF" w:rsidP="00095CEF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D</w:t>
            </w:r>
            <w:r w:rsidR="002E61CA"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otycz</w:t>
            </w:r>
            <w:r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ące</w:t>
            </w:r>
          </w:p>
          <w:p w:rsidR="002E61CA" w:rsidRPr="002E61CA" w:rsidRDefault="002E61CA" w:rsidP="00095CEF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zbytych składników</w:t>
            </w:r>
          </w:p>
        </w:tc>
        <w:tc>
          <w:tcPr>
            <w:tcW w:w="364" w:type="pct"/>
            <w:vAlign w:val="center"/>
          </w:tcPr>
          <w:p w:rsidR="002E61CA" w:rsidRPr="002E61CA" w:rsidRDefault="002E61CA" w:rsidP="00095CEF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dotycz</w:t>
            </w:r>
            <w:r w:rsidR="00095CEF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ące</w:t>
            </w: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 xml:space="preserve"> zlikwidowanych składników</w:t>
            </w:r>
          </w:p>
        </w:tc>
        <w:tc>
          <w:tcPr>
            <w:tcW w:w="289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inne</w:t>
            </w:r>
          </w:p>
        </w:tc>
        <w:tc>
          <w:tcPr>
            <w:tcW w:w="36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razem zmniejszenia</w:t>
            </w:r>
          </w:p>
        </w:tc>
        <w:tc>
          <w:tcPr>
            <w:tcW w:w="57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1.1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Licencje na użytkowanie programów komputerowych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1,.2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Pozostałe wartości niematerialne i prawne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I.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 wartości niematerialne i prawne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2.1.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Grunty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2.1.1.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 xml:space="preserve">Grunty stanowiące własność </w:t>
            </w:r>
            <w:proofErr w:type="spellStart"/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jst</w:t>
            </w:r>
            <w:proofErr w:type="spellEnd"/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, przekazane w użytkowanie wieczyste innym podmiotom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2.2.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Budynki, lokale i obiekty inżynierii lądowej i wodnej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2.3.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Środki transportu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2.4.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Inne środki trwałe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 środki trwałe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Środki trwałe w budowie (inwestycje)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Zaliczki na środki trwałe w budowie (inwestycje)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2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II.</w:t>
            </w:r>
          </w:p>
        </w:tc>
        <w:tc>
          <w:tcPr>
            <w:tcW w:w="603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 rzeczowe aktywa trwałe (2+3+4)</w:t>
            </w:r>
          </w:p>
        </w:tc>
        <w:tc>
          <w:tcPr>
            <w:tcW w:w="52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3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91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5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76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9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2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7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:rsidR="002E61CA" w:rsidRP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1359AB" w:rsidRDefault="001359AB" w:rsidP="00A5338E">
      <w:pPr>
        <w:jc w:val="both"/>
        <w:rPr>
          <w:rFonts w:cs="Times New Roman"/>
        </w:rPr>
      </w:pPr>
    </w:p>
    <w:p w:rsidR="001D35AE" w:rsidRDefault="001D35AE" w:rsidP="00A5338E">
      <w:pPr>
        <w:jc w:val="both"/>
        <w:rPr>
          <w:rFonts w:cs="Times New Roman"/>
        </w:rPr>
      </w:pPr>
    </w:p>
    <w:p w:rsidR="00BF0E9D" w:rsidRPr="00BF0E9D" w:rsidRDefault="00BF0E9D" w:rsidP="00BF0E9D">
      <w:pPr>
        <w:jc w:val="both"/>
        <w:rPr>
          <w:rFonts w:cs="Times New Roman"/>
        </w:rPr>
      </w:pPr>
      <w:r w:rsidRPr="00BF0E9D">
        <w:rPr>
          <w:rFonts w:cs="Times New Roman"/>
        </w:rPr>
        <w:lastRenderedPageBreak/>
        <w:t xml:space="preserve">b) Punkt 1.2. </w:t>
      </w:r>
    </w:p>
    <w:p w:rsidR="00BF0E9D" w:rsidRPr="00BF0E9D" w:rsidRDefault="00BF0E9D" w:rsidP="00BF0E9D">
      <w:pPr>
        <w:jc w:val="both"/>
        <w:rPr>
          <w:rFonts w:cs="Times New Roman"/>
        </w:rPr>
      </w:pPr>
      <w:r w:rsidRPr="00BF0E9D">
        <w:rPr>
          <w:rFonts w:cs="Times New Roman"/>
          <w:b/>
          <w:bCs/>
          <w:i/>
          <w:iCs/>
        </w:rPr>
        <w:t xml:space="preserve">Aktualna wartość rynkowa środków trwałych, w tym dóbr kultury. </w:t>
      </w:r>
    </w:p>
    <w:p w:rsidR="00BF0E9D" w:rsidRDefault="00BF0E9D" w:rsidP="00BF0E9D">
      <w:pPr>
        <w:jc w:val="both"/>
        <w:rPr>
          <w:rFonts w:cs="Times New Roman"/>
        </w:rPr>
      </w:pPr>
      <w:r w:rsidRPr="00BF0E9D">
        <w:rPr>
          <w:rFonts w:cs="Times New Roman"/>
        </w:rPr>
        <w:t xml:space="preserve">Punkt uzupełniany jest wyłącznie wtedy, gdy jednostka posiada takie informacje. </w:t>
      </w:r>
    </w:p>
    <w:p w:rsidR="001D35AE" w:rsidRDefault="001D35AE" w:rsidP="00BF0E9D">
      <w:pPr>
        <w:jc w:val="both"/>
        <w:rPr>
          <w:rFonts w:cs="Times New Roman"/>
        </w:rPr>
      </w:pPr>
    </w:p>
    <w:p w:rsidR="00BF0E9D" w:rsidRPr="00BF0E9D" w:rsidRDefault="00BF0E9D" w:rsidP="00BF0E9D">
      <w:pPr>
        <w:jc w:val="both"/>
        <w:rPr>
          <w:rFonts w:cs="Times New Roman"/>
        </w:rPr>
      </w:pPr>
      <w:r w:rsidRPr="00BF0E9D">
        <w:rPr>
          <w:rFonts w:cs="Times New Roman"/>
        </w:rPr>
        <w:t xml:space="preserve">c) Punkt 1.3. </w:t>
      </w:r>
    </w:p>
    <w:p w:rsidR="00BF0E9D" w:rsidRPr="00BF0E9D" w:rsidRDefault="00BF0E9D" w:rsidP="00BF0E9D">
      <w:pPr>
        <w:jc w:val="both"/>
        <w:rPr>
          <w:rFonts w:cs="Times New Roman"/>
        </w:rPr>
      </w:pPr>
      <w:r w:rsidRPr="00BF0E9D">
        <w:rPr>
          <w:rFonts w:cs="Times New Roman"/>
          <w:b/>
          <w:bCs/>
          <w:i/>
          <w:iCs/>
        </w:rPr>
        <w:t xml:space="preserve">Kwota dokonywanych w trakcie roku obrotowego odpisów aktualizujących wartość aktywów trwałych odrębnie dla długoterminowych aktywów niefinansowych oraz </w:t>
      </w:r>
      <w:r w:rsidR="00095CEF">
        <w:rPr>
          <w:rFonts w:cs="Times New Roman"/>
          <w:b/>
          <w:bCs/>
          <w:i/>
          <w:iCs/>
        </w:rPr>
        <w:t xml:space="preserve">długoterminowych </w:t>
      </w:r>
      <w:r w:rsidRPr="00BF0E9D">
        <w:rPr>
          <w:rFonts w:cs="Times New Roman"/>
          <w:b/>
          <w:bCs/>
          <w:i/>
          <w:iCs/>
        </w:rPr>
        <w:t xml:space="preserve">aktywów finansowych. </w:t>
      </w:r>
    </w:p>
    <w:p w:rsidR="006772B0" w:rsidRDefault="006772B0" w:rsidP="006772B0">
      <w:pPr>
        <w:jc w:val="both"/>
        <w:rPr>
          <w:rFonts w:cs="Times New Roman"/>
        </w:rPr>
      </w:pPr>
      <w:r w:rsidRPr="00A5338E">
        <w:rPr>
          <w:rFonts w:cs="Times New Roman"/>
        </w:rPr>
        <w:t>Informacje te należy przed</w:t>
      </w:r>
      <w:r>
        <w:rPr>
          <w:rFonts w:cs="Times New Roman"/>
        </w:rPr>
        <w:t>stawić w formie poniższej tabeli nr 3</w:t>
      </w:r>
      <w:r w:rsidR="00A215F5">
        <w:rPr>
          <w:rFonts w:cs="Times New Roman"/>
        </w:rPr>
        <w:t>.</w:t>
      </w:r>
    </w:p>
    <w:p w:rsidR="00692E94" w:rsidRDefault="00692E94" w:rsidP="00692E94">
      <w:pPr>
        <w:pStyle w:val="Default"/>
      </w:pPr>
    </w:p>
    <w:p w:rsidR="002E61CA" w:rsidRDefault="002E61CA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  <w:r w:rsidRPr="002E61CA">
        <w:rPr>
          <w:rFonts w:eastAsia="Times New Roman" w:cs="Times New Roman"/>
          <w:b/>
          <w:sz w:val="20"/>
          <w:szCs w:val="20"/>
          <w:lang w:eastAsia="pl-PL"/>
        </w:rPr>
        <w:t>Tabela 3. Odpisy aktualizujące wartość aktywów trwałych</w:t>
      </w:r>
    </w:p>
    <w:p w:rsidR="00F21DE9" w:rsidRPr="002E61CA" w:rsidRDefault="00F21DE9" w:rsidP="002E61CA">
      <w:pPr>
        <w:spacing w:line="240" w:lineRule="auto"/>
        <w:rPr>
          <w:rFonts w:eastAsia="Times New Roman" w:cs="Times New Roman"/>
          <w:b/>
          <w:szCs w:val="24"/>
          <w:lang w:eastAsia="pl-PL"/>
        </w:rPr>
      </w:pPr>
    </w:p>
    <w:tbl>
      <w:tblPr>
        <w:tblW w:w="518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1784"/>
        <w:gridCol w:w="1558"/>
        <w:gridCol w:w="1914"/>
        <w:gridCol w:w="1914"/>
        <w:gridCol w:w="1974"/>
      </w:tblGrid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</w:t>
            </w:r>
          </w:p>
        </w:tc>
        <w:tc>
          <w:tcPr>
            <w:tcW w:w="809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odpisów na początek okresu</w:t>
            </w:r>
          </w:p>
        </w:tc>
        <w:tc>
          <w:tcPr>
            <w:tcW w:w="994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Zwiększenia</w:t>
            </w:r>
          </w:p>
        </w:tc>
        <w:tc>
          <w:tcPr>
            <w:tcW w:w="994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Zmniejszenia</w:t>
            </w:r>
          </w:p>
        </w:tc>
        <w:tc>
          <w:tcPr>
            <w:tcW w:w="102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odpisów na koniec okresu</w:t>
            </w: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1,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Wartości niematerialne i prawne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Środki trwałe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Środki trwałe w budowie (inwestycje)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Zaliczki na środki trwałe w budowie (inwestycje)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5.1.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Akcje i udziały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5.2.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Inne papiery wartościowe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5.3.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Inne długoterminowe aktywa finansowe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 inne długoterminowe aktywa finansowe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6.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Ogółem (1+2+3+4+5)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:rsidR="002E61CA" w:rsidRP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2E61CA" w:rsidRDefault="002E61CA" w:rsidP="00692E94">
      <w:pPr>
        <w:pStyle w:val="Default"/>
      </w:pPr>
    </w:p>
    <w:p w:rsidR="00692E94" w:rsidRDefault="00692E94" w:rsidP="00692E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Punkt 1.4. </w:t>
      </w:r>
    </w:p>
    <w:p w:rsidR="00692E94" w:rsidRDefault="00692E94" w:rsidP="00692E94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Wartość gruntów użytkowanych wieczyście. </w:t>
      </w:r>
    </w:p>
    <w:p w:rsidR="00ED5A0C" w:rsidRDefault="00692E94" w:rsidP="00692E94">
      <w:pPr>
        <w:jc w:val="both"/>
        <w:rPr>
          <w:sz w:val="23"/>
          <w:szCs w:val="23"/>
        </w:rPr>
      </w:pPr>
      <w:r>
        <w:rPr>
          <w:sz w:val="23"/>
          <w:szCs w:val="23"/>
        </w:rPr>
        <w:t>Prawo wieczystego użytkowania gruntów jest wykazywane w ewidencji bilansowej. Prezentuje się je w aktywach bilansu. Wartość gruntów, na które ustanowiono prawo wieczystego użytkowania gruntów, ujmuje się w ewidencji pozabilansowej. Informacje dotyczące gruntów otrzymanych w wieczyste użytkowanie należy przedstawić w formie poniższej tabeli nr 4.</w:t>
      </w:r>
    </w:p>
    <w:p w:rsidR="001D35AE" w:rsidRDefault="001D35AE" w:rsidP="00692E94">
      <w:pPr>
        <w:jc w:val="both"/>
        <w:rPr>
          <w:sz w:val="23"/>
          <w:szCs w:val="23"/>
        </w:rPr>
      </w:pPr>
    </w:p>
    <w:p w:rsidR="002E61CA" w:rsidRDefault="002E61CA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  <w:r w:rsidRPr="002E61CA">
        <w:rPr>
          <w:rFonts w:eastAsia="Times New Roman" w:cs="Times New Roman"/>
          <w:b/>
          <w:sz w:val="20"/>
          <w:szCs w:val="20"/>
          <w:lang w:eastAsia="pl-PL"/>
        </w:rPr>
        <w:t>Tabela 4. Grunty użytkowane wieczyście</w:t>
      </w:r>
    </w:p>
    <w:p w:rsidR="00F21DE9" w:rsidRPr="002E61CA" w:rsidRDefault="00F21DE9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1983"/>
        <w:gridCol w:w="1984"/>
        <w:gridCol w:w="1022"/>
        <w:gridCol w:w="1259"/>
        <w:gridCol w:w="1261"/>
        <w:gridCol w:w="1297"/>
      </w:tblGrid>
      <w:tr w:rsidR="00F21DE9" w:rsidRPr="002E61CA" w:rsidTr="00F21DE9">
        <w:tc>
          <w:tcPr>
            <w:tcW w:w="259" w:type="pct"/>
            <w:vMerge w:val="restart"/>
            <w:vAlign w:val="center"/>
          </w:tcPr>
          <w:p w:rsidR="00F21DE9" w:rsidRPr="002E61CA" w:rsidRDefault="00F21DE9" w:rsidP="005327B7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1068" w:type="pct"/>
            <w:vMerge w:val="restart"/>
            <w:vAlign w:val="center"/>
          </w:tcPr>
          <w:p w:rsidR="00F21DE9" w:rsidRPr="002E61CA" w:rsidRDefault="00F21DE9" w:rsidP="00F21DE9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Treść (nr działki, nazwa)</w:t>
            </w:r>
          </w:p>
        </w:tc>
        <w:tc>
          <w:tcPr>
            <w:tcW w:w="1068" w:type="pct"/>
            <w:vMerge w:val="restart"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</w:t>
            </w:r>
          </w:p>
        </w:tc>
        <w:tc>
          <w:tcPr>
            <w:tcW w:w="550" w:type="pct"/>
            <w:vMerge w:val="restart"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na początek okresu</w:t>
            </w:r>
          </w:p>
        </w:tc>
        <w:tc>
          <w:tcPr>
            <w:tcW w:w="1357" w:type="pct"/>
            <w:gridSpan w:val="2"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Zmiany</w:t>
            </w:r>
          </w:p>
        </w:tc>
        <w:tc>
          <w:tcPr>
            <w:tcW w:w="698" w:type="pct"/>
            <w:vMerge w:val="restart"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na koniec okresu</w:t>
            </w:r>
          </w:p>
        </w:tc>
      </w:tr>
      <w:tr w:rsidR="00F21DE9" w:rsidRPr="002E61CA" w:rsidTr="00F21DE9">
        <w:tc>
          <w:tcPr>
            <w:tcW w:w="259" w:type="pct"/>
            <w:vMerge/>
            <w:vAlign w:val="center"/>
          </w:tcPr>
          <w:p w:rsidR="00F21DE9" w:rsidRPr="002E61CA" w:rsidRDefault="00F21DE9" w:rsidP="005327B7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Merge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Merge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550" w:type="pct"/>
            <w:vMerge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678" w:type="pct"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Zwiększenia</w:t>
            </w:r>
          </w:p>
        </w:tc>
        <w:tc>
          <w:tcPr>
            <w:tcW w:w="679" w:type="pct"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Zmniejszenia</w:t>
            </w:r>
          </w:p>
        </w:tc>
        <w:tc>
          <w:tcPr>
            <w:tcW w:w="698" w:type="pct"/>
            <w:vMerge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</w:tr>
      <w:tr w:rsidR="00F21DE9" w:rsidRPr="002E61CA" w:rsidTr="00F21DE9">
        <w:trPr>
          <w:trHeight w:val="70"/>
        </w:trPr>
        <w:tc>
          <w:tcPr>
            <w:tcW w:w="259" w:type="pct"/>
            <w:vMerge w:val="restart"/>
            <w:vAlign w:val="center"/>
          </w:tcPr>
          <w:p w:rsidR="00F21DE9" w:rsidRPr="002E61CA" w:rsidRDefault="00F21DE9" w:rsidP="00F21DE9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>
              <w:rPr>
                <w:rFonts w:eastAsia="Times New Roman" w:cs="Times New Roman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1068" w:type="pct"/>
            <w:vMerge w:val="restar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Align w:val="center"/>
          </w:tcPr>
          <w:p w:rsidR="00F21DE9" w:rsidRPr="002E61CA" w:rsidRDefault="00F21DE9" w:rsidP="00F21DE9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 xml:space="preserve">Powierzchnia </w:t>
            </w:r>
            <w:r>
              <w:rPr>
                <w:rFonts w:eastAsia="Times New Roman" w:cs="Times New Roman"/>
                <w:sz w:val="18"/>
                <w:szCs w:val="18"/>
                <w:lang w:eastAsia="pl-PL"/>
              </w:rPr>
              <w:t>(…)</w:t>
            </w:r>
          </w:p>
        </w:tc>
        <w:tc>
          <w:tcPr>
            <w:tcW w:w="550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9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21DE9" w:rsidRPr="002E61CA" w:rsidTr="00F21DE9">
        <w:tc>
          <w:tcPr>
            <w:tcW w:w="259" w:type="pct"/>
            <w:vMerge/>
            <w:vAlign w:val="center"/>
          </w:tcPr>
          <w:p w:rsidR="00F21DE9" w:rsidRPr="002E61CA" w:rsidRDefault="00F21DE9" w:rsidP="00F21DE9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Merge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Wartość (zł)</w:t>
            </w:r>
          </w:p>
        </w:tc>
        <w:tc>
          <w:tcPr>
            <w:tcW w:w="550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9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21DE9" w:rsidRPr="002E61CA" w:rsidTr="00F21DE9">
        <w:tc>
          <w:tcPr>
            <w:tcW w:w="259" w:type="pct"/>
            <w:vMerge w:val="restart"/>
            <w:vAlign w:val="center"/>
          </w:tcPr>
          <w:p w:rsidR="00F21DE9" w:rsidRPr="002E61CA" w:rsidRDefault="00F21DE9" w:rsidP="00F21DE9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>
              <w:rPr>
                <w:rFonts w:eastAsia="Times New Roman" w:cs="Times New Roman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1068" w:type="pct"/>
            <w:vMerge w:val="restar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Align w:val="center"/>
          </w:tcPr>
          <w:p w:rsidR="00F21DE9" w:rsidRPr="002E61CA" w:rsidRDefault="00F21DE9" w:rsidP="00F21DE9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 xml:space="preserve">Powierzchnia </w:t>
            </w:r>
            <w:r>
              <w:rPr>
                <w:rFonts w:eastAsia="Times New Roman" w:cs="Times New Roman"/>
                <w:sz w:val="18"/>
                <w:szCs w:val="18"/>
                <w:lang w:eastAsia="pl-PL"/>
              </w:rPr>
              <w:t>(…)</w:t>
            </w:r>
          </w:p>
        </w:tc>
        <w:tc>
          <w:tcPr>
            <w:tcW w:w="550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9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21DE9" w:rsidRPr="002E61CA" w:rsidTr="00F21DE9">
        <w:tc>
          <w:tcPr>
            <w:tcW w:w="259" w:type="pct"/>
            <w:vMerge/>
            <w:vAlign w:val="center"/>
          </w:tcPr>
          <w:p w:rsidR="00F21DE9" w:rsidRPr="002E61CA" w:rsidRDefault="00F21DE9" w:rsidP="00F21DE9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Merge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Wartość (zł)</w:t>
            </w:r>
          </w:p>
        </w:tc>
        <w:tc>
          <w:tcPr>
            <w:tcW w:w="550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9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21DE9" w:rsidRPr="002E61CA" w:rsidTr="00F21DE9">
        <w:tc>
          <w:tcPr>
            <w:tcW w:w="259" w:type="pct"/>
            <w:vMerge w:val="restart"/>
            <w:vAlign w:val="center"/>
          </w:tcPr>
          <w:p w:rsidR="00F21DE9" w:rsidRPr="002E61CA" w:rsidRDefault="00F21DE9" w:rsidP="00F21DE9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>
              <w:rPr>
                <w:rFonts w:eastAsia="Times New Roman" w:cs="Times New Roman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1068" w:type="pct"/>
            <w:vMerge w:val="restar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Align w:val="center"/>
          </w:tcPr>
          <w:p w:rsidR="00F21DE9" w:rsidRPr="002E61CA" w:rsidRDefault="00F21DE9" w:rsidP="00F21DE9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Powierzchnia</w:t>
            </w:r>
            <w:r>
              <w:rPr>
                <w:rFonts w:eastAsia="Times New Roman" w:cs="Times New Roman"/>
                <w:sz w:val="18"/>
                <w:szCs w:val="18"/>
                <w:lang w:eastAsia="pl-PL"/>
              </w:rPr>
              <w:t xml:space="preserve"> (…)</w:t>
            </w:r>
          </w:p>
        </w:tc>
        <w:tc>
          <w:tcPr>
            <w:tcW w:w="550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9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21DE9" w:rsidRPr="002E61CA" w:rsidTr="00F21DE9">
        <w:tc>
          <w:tcPr>
            <w:tcW w:w="259" w:type="pct"/>
            <w:vMerge/>
            <w:vAlign w:val="center"/>
          </w:tcPr>
          <w:p w:rsidR="00F21DE9" w:rsidRPr="002E61CA" w:rsidRDefault="00F21DE9" w:rsidP="005327B7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Merge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68" w:type="pct"/>
            <w:vAlign w:val="center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Wartość (zł)</w:t>
            </w:r>
          </w:p>
        </w:tc>
        <w:tc>
          <w:tcPr>
            <w:tcW w:w="550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79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98" w:type="pct"/>
          </w:tcPr>
          <w:p w:rsidR="00F21DE9" w:rsidRPr="002E61CA" w:rsidRDefault="00F21DE9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:rsidR="00F21DE9" w:rsidRDefault="00F21DE9" w:rsidP="00692E94">
      <w:pPr>
        <w:pStyle w:val="Default"/>
        <w:rPr>
          <w:sz w:val="23"/>
          <w:szCs w:val="23"/>
        </w:rPr>
      </w:pPr>
    </w:p>
    <w:p w:rsidR="00F21DE9" w:rsidRDefault="00F21DE9" w:rsidP="00692E94">
      <w:pPr>
        <w:pStyle w:val="Default"/>
        <w:rPr>
          <w:sz w:val="23"/>
          <w:szCs w:val="23"/>
        </w:rPr>
      </w:pPr>
    </w:p>
    <w:p w:rsidR="00692E94" w:rsidRDefault="00692E94" w:rsidP="00692E94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e) Punkt 1.5. </w:t>
      </w:r>
    </w:p>
    <w:p w:rsidR="00692E94" w:rsidRDefault="00692E94" w:rsidP="00692E94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Wartość nieamortyzowanych lub nieumarzanych przez jednostkę środków trwałych, używanych na podstawie umów najmu, dzierżawy i innych umów, w tym z tytułu umów leasingu. </w:t>
      </w:r>
    </w:p>
    <w:p w:rsidR="00055263" w:rsidRDefault="00606104" w:rsidP="00692E94">
      <w:pPr>
        <w:jc w:val="both"/>
        <w:rPr>
          <w:sz w:val="23"/>
          <w:szCs w:val="23"/>
        </w:rPr>
      </w:pPr>
      <w:r>
        <w:rPr>
          <w:sz w:val="23"/>
          <w:szCs w:val="23"/>
        </w:rPr>
        <w:t>Należy wykazać wartość obcych środków trwałych, które jednostka użytkuje na podstawie wymienionych umów</w:t>
      </w:r>
      <w:r w:rsidR="00692E94">
        <w:rPr>
          <w:sz w:val="23"/>
          <w:szCs w:val="23"/>
        </w:rPr>
        <w:t xml:space="preserve">. Wartość takich środków trwałych ujmuje się w ewidencji pozabilansowej i przedstawia w formie poniższej tabeli </w:t>
      </w:r>
      <w:r w:rsidR="00A215F5">
        <w:rPr>
          <w:sz w:val="23"/>
          <w:szCs w:val="23"/>
        </w:rPr>
        <w:t>n</w:t>
      </w:r>
      <w:r w:rsidR="00692E94">
        <w:rPr>
          <w:sz w:val="23"/>
          <w:szCs w:val="23"/>
        </w:rPr>
        <w:t>r 5.</w:t>
      </w:r>
    </w:p>
    <w:p w:rsidR="00F21DE9" w:rsidRDefault="00F21DE9" w:rsidP="00692E94">
      <w:pPr>
        <w:jc w:val="both"/>
        <w:rPr>
          <w:rFonts w:cs="Times New Roman"/>
        </w:rPr>
      </w:pPr>
    </w:p>
    <w:p w:rsidR="002E61CA" w:rsidRDefault="002E61CA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  <w:r w:rsidRPr="002E61CA">
        <w:rPr>
          <w:rFonts w:eastAsia="Times New Roman" w:cs="Times New Roman"/>
          <w:b/>
          <w:sz w:val="20"/>
          <w:szCs w:val="20"/>
          <w:lang w:eastAsia="pl-PL"/>
        </w:rPr>
        <w:t>Tabela 5. Wartość nieamortyzowanych lub nieumorzonych przez jednostkę środków trwałych, używanych na  podstawie umów najmu, dzierżawy i innych umów, w tym z tytułu umów leasingu</w:t>
      </w:r>
    </w:p>
    <w:p w:rsidR="00F21DE9" w:rsidRPr="002E61CA" w:rsidRDefault="00F21DE9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</w:p>
    <w:tbl>
      <w:tblPr>
        <w:tblW w:w="518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1784"/>
        <w:gridCol w:w="1558"/>
        <w:gridCol w:w="1914"/>
        <w:gridCol w:w="1914"/>
        <w:gridCol w:w="1974"/>
      </w:tblGrid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</w:t>
            </w:r>
          </w:p>
        </w:tc>
        <w:tc>
          <w:tcPr>
            <w:tcW w:w="809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odpisów na początek okresu</w:t>
            </w:r>
          </w:p>
        </w:tc>
        <w:tc>
          <w:tcPr>
            <w:tcW w:w="994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Zwiększenia</w:t>
            </w:r>
          </w:p>
        </w:tc>
        <w:tc>
          <w:tcPr>
            <w:tcW w:w="994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Zmniejszenia</w:t>
            </w:r>
          </w:p>
        </w:tc>
        <w:tc>
          <w:tcPr>
            <w:tcW w:w="102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odpisów na koniec okresu</w:t>
            </w: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1,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Grunty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Budynki, lokale i obiekty inżynierii lądowej i wodnej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Urządzenia techniczne i maszyny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Środki transportu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Inne środki trwałe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6.</w:t>
            </w:r>
          </w:p>
        </w:tc>
        <w:tc>
          <w:tcPr>
            <w:tcW w:w="926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99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02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:rsidR="00055263" w:rsidRDefault="00055263" w:rsidP="00925837">
      <w:pPr>
        <w:ind w:left="708"/>
        <w:jc w:val="both"/>
        <w:rPr>
          <w:rFonts w:cs="Times New Roman"/>
        </w:rPr>
      </w:pPr>
    </w:p>
    <w:p w:rsidR="00692E94" w:rsidRDefault="00692E94" w:rsidP="00692E94">
      <w:pPr>
        <w:pStyle w:val="Default"/>
      </w:pPr>
    </w:p>
    <w:p w:rsidR="00692E94" w:rsidRDefault="00692E94" w:rsidP="00692E9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f) Punkt 1.6. </w:t>
      </w:r>
    </w:p>
    <w:p w:rsidR="00692E94" w:rsidRDefault="00692E94" w:rsidP="00692E94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Liczba oraz wartość posiadanych papierów wartościowych, w tym akcji i udziałów oraz dłużnych papierów wartościowych. </w:t>
      </w:r>
    </w:p>
    <w:p w:rsidR="00055263" w:rsidRDefault="00692E94" w:rsidP="00692E94">
      <w:pPr>
        <w:jc w:val="both"/>
        <w:rPr>
          <w:rFonts w:cs="Times New Roman"/>
        </w:rPr>
      </w:pPr>
      <w:r>
        <w:rPr>
          <w:sz w:val="23"/>
          <w:szCs w:val="23"/>
        </w:rPr>
        <w:t xml:space="preserve">Powyższe dane należy przedstawić w formie poniższej tabeli </w:t>
      </w:r>
      <w:r w:rsidR="00A215F5">
        <w:rPr>
          <w:sz w:val="23"/>
          <w:szCs w:val="23"/>
        </w:rPr>
        <w:t>n</w:t>
      </w:r>
      <w:r>
        <w:rPr>
          <w:sz w:val="23"/>
          <w:szCs w:val="23"/>
        </w:rPr>
        <w:t>r 6.</w:t>
      </w:r>
    </w:p>
    <w:p w:rsidR="00055263" w:rsidRDefault="00055263" w:rsidP="00925837">
      <w:pPr>
        <w:ind w:left="708"/>
        <w:jc w:val="both"/>
        <w:rPr>
          <w:rFonts w:cs="Times New Roman"/>
        </w:rPr>
      </w:pPr>
    </w:p>
    <w:p w:rsidR="002E61CA" w:rsidRDefault="002E61CA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  <w:r w:rsidRPr="002E61CA">
        <w:rPr>
          <w:rFonts w:eastAsia="Times New Roman" w:cs="Times New Roman"/>
          <w:b/>
          <w:sz w:val="20"/>
          <w:szCs w:val="20"/>
          <w:lang w:eastAsia="pl-PL"/>
        </w:rPr>
        <w:t>Tabela 6. Liczba i wartość posiadanych papierów wartościowych, w tym akcji, udziałów i dłużnych papierów wartościowych</w:t>
      </w:r>
    </w:p>
    <w:p w:rsidR="00F21DE9" w:rsidRPr="002E61CA" w:rsidRDefault="00F21DE9" w:rsidP="002E61CA">
      <w:pPr>
        <w:spacing w:line="240" w:lineRule="auto"/>
        <w:rPr>
          <w:rFonts w:eastAsia="Times New Roman" w:cs="Times New Roman"/>
          <w:b/>
          <w:szCs w:val="24"/>
          <w:lang w:eastAsia="pl-PL"/>
        </w:rPr>
      </w:pPr>
    </w:p>
    <w:tbl>
      <w:tblPr>
        <w:tblW w:w="518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1185"/>
        <w:gridCol w:w="742"/>
        <w:gridCol w:w="1132"/>
        <w:gridCol w:w="709"/>
        <w:gridCol w:w="1134"/>
        <w:gridCol w:w="851"/>
        <w:gridCol w:w="1132"/>
        <w:gridCol w:w="1134"/>
        <w:gridCol w:w="1125"/>
      </w:tblGrid>
      <w:tr w:rsidR="002E61CA" w:rsidRPr="002E61CA" w:rsidTr="00C31D04">
        <w:trPr>
          <w:trHeight w:val="1242"/>
        </w:trPr>
        <w:tc>
          <w:tcPr>
            <w:tcW w:w="252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Lp.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615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</w:t>
            </w:r>
          </w:p>
        </w:tc>
        <w:tc>
          <w:tcPr>
            <w:tcW w:w="973" w:type="pct"/>
            <w:gridSpan w:val="2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na początek okresu</w:t>
            </w:r>
          </w:p>
        </w:tc>
        <w:tc>
          <w:tcPr>
            <w:tcW w:w="957" w:type="pct"/>
            <w:gridSpan w:val="2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Zwiększenia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030" w:type="pct"/>
            <w:gridSpan w:val="2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Zmniejszenia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173" w:type="pct"/>
            <w:gridSpan w:val="2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na koniec okresu</w:t>
            </w:r>
          </w:p>
        </w:tc>
      </w:tr>
      <w:tr w:rsidR="002E61CA" w:rsidRPr="002E61CA" w:rsidTr="00C31D04">
        <w:tc>
          <w:tcPr>
            <w:tcW w:w="252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15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ilość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ilość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ilość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wartość</w:t>
            </w: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Akcje</w:t>
            </w: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1.1.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1.2.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Udziały</w:t>
            </w: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2.1.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2.2.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Dłużne papiery wartościowe</w:t>
            </w: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3.1.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3.2.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Inne papiery wartościowe</w:t>
            </w: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4.1.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4.2.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385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6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44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84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:rsidR="002E61CA" w:rsidRP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692E94" w:rsidRDefault="00692E94" w:rsidP="00692E94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g) Punkt 1.7. </w:t>
      </w:r>
    </w:p>
    <w:p w:rsidR="00692E94" w:rsidRDefault="00692E94" w:rsidP="00692E94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Dane o odpisach aktualizujących wartość należności, ze wskazaniem stanu na początek roku obrotowego, zwiększeniach, wykorzystaniu, rozwiązaniu i stanie na koniec roku obrotowego, z uwzględnieniem należności finansowych jednostek samorządu terytorialnego (stan pożyczek zagrożonych). </w:t>
      </w:r>
    </w:p>
    <w:p w:rsidR="00055263" w:rsidRDefault="00692E94" w:rsidP="00692E94">
      <w:pPr>
        <w:jc w:val="both"/>
        <w:rPr>
          <w:sz w:val="23"/>
          <w:szCs w:val="23"/>
        </w:rPr>
      </w:pPr>
      <w:r>
        <w:rPr>
          <w:sz w:val="23"/>
          <w:szCs w:val="23"/>
        </w:rPr>
        <w:t>Powyższe dane należy przedstawić w formie poniższej tabeli nr 7.</w:t>
      </w:r>
    </w:p>
    <w:p w:rsidR="002E61CA" w:rsidRDefault="002E61CA" w:rsidP="00692E94">
      <w:pPr>
        <w:jc w:val="both"/>
        <w:rPr>
          <w:rFonts w:cs="Times New Roman"/>
        </w:rPr>
      </w:pPr>
    </w:p>
    <w:p w:rsidR="002E61CA" w:rsidRDefault="002E61CA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  <w:r w:rsidRPr="002E61CA">
        <w:rPr>
          <w:rFonts w:eastAsia="Times New Roman" w:cs="Times New Roman"/>
          <w:b/>
          <w:sz w:val="20"/>
          <w:szCs w:val="20"/>
          <w:lang w:eastAsia="pl-PL"/>
        </w:rPr>
        <w:t>Tabela 7. Informacje o odpisach aktualizujących wartość należności</w:t>
      </w:r>
    </w:p>
    <w:p w:rsidR="002E61CA" w:rsidRPr="002E61CA" w:rsidRDefault="002E61CA" w:rsidP="002E61CA">
      <w:pPr>
        <w:spacing w:line="240" w:lineRule="auto"/>
        <w:rPr>
          <w:rFonts w:eastAsia="Times New Roman" w:cs="Times New Roman"/>
          <w:b/>
          <w:szCs w:val="24"/>
          <w:lang w:eastAsia="pl-PL"/>
        </w:rPr>
      </w:pPr>
    </w:p>
    <w:tbl>
      <w:tblPr>
        <w:tblW w:w="518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1184"/>
        <w:gridCol w:w="1310"/>
        <w:gridCol w:w="1275"/>
        <w:gridCol w:w="1558"/>
        <w:gridCol w:w="1275"/>
        <w:gridCol w:w="1277"/>
        <w:gridCol w:w="1265"/>
      </w:tblGrid>
      <w:tr w:rsidR="002E61CA" w:rsidRPr="002E61CA" w:rsidTr="00C31D04">
        <w:trPr>
          <w:trHeight w:val="1242"/>
        </w:trPr>
        <w:tc>
          <w:tcPr>
            <w:tcW w:w="252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Lp.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615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 (grupa należności)</w:t>
            </w:r>
          </w:p>
        </w:tc>
        <w:tc>
          <w:tcPr>
            <w:tcW w:w="680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na początek okresu</w:t>
            </w:r>
          </w:p>
        </w:tc>
        <w:tc>
          <w:tcPr>
            <w:tcW w:w="662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Zwiększenia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4" w:type="pct"/>
            <w:gridSpan w:val="3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Zmniejszenia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657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na koniec okresu</w:t>
            </w:r>
          </w:p>
        </w:tc>
      </w:tr>
      <w:tr w:rsidR="002E61CA" w:rsidRPr="002E61CA" w:rsidTr="00C31D04">
        <w:tc>
          <w:tcPr>
            <w:tcW w:w="252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15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80" w:type="pct"/>
            <w:vMerge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  <w:vMerge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wykorzystanie</w:t>
            </w: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rozwiązanie</w:t>
            </w:r>
          </w:p>
        </w:tc>
        <w:tc>
          <w:tcPr>
            <w:tcW w:w="663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657" w:type="pct"/>
            <w:vMerge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8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3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5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8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3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5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68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3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5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:rsidR="002E61CA" w:rsidRP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401036" w:rsidRDefault="00401036" w:rsidP="00401036">
      <w:pPr>
        <w:pStyle w:val="Default"/>
      </w:pPr>
    </w:p>
    <w:p w:rsidR="00401036" w:rsidRDefault="00401036" w:rsidP="0040103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h) Punkt 1.8. </w:t>
      </w:r>
    </w:p>
    <w:p w:rsidR="00401036" w:rsidRDefault="00401036" w:rsidP="00401036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Dane o stanie rezerw według celu ich utworzenia na początek roku obrotowego, zwiększeniach, wykorzystaniu, rozwiązaniu i stanie końcowym. </w:t>
      </w:r>
    </w:p>
    <w:p w:rsidR="00055263" w:rsidRDefault="00401036" w:rsidP="00401036">
      <w:pPr>
        <w:jc w:val="both"/>
        <w:rPr>
          <w:sz w:val="23"/>
          <w:szCs w:val="23"/>
        </w:rPr>
      </w:pPr>
      <w:r>
        <w:rPr>
          <w:sz w:val="23"/>
          <w:szCs w:val="23"/>
        </w:rPr>
        <w:t>W sytuacji, kiedy jednostka tworzy rezerwy, ich wartość należy przedstawić w formie poniższej tabeli nr 8.</w:t>
      </w:r>
    </w:p>
    <w:p w:rsidR="002E61CA" w:rsidRDefault="002E61CA" w:rsidP="00401036">
      <w:pPr>
        <w:jc w:val="both"/>
        <w:rPr>
          <w:rFonts w:cs="Times New Roman"/>
        </w:rPr>
      </w:pPr>
    </w:p>
    <w:p w:rsidR="002E61CA" w:rsidRDefault="002E61CA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  <w:r w:rsidRPr="002E61CA">
        <w:rPr>
          <w:rFonts w:eastAsia="Times New Roman" w:cs="Times New Roman"/>
          <w:b/>
          <w:sz w:val="20"/>
          <w:szCs w:val="20"/>
          <w:lang w:eastAsia="pl-PL"/>
        </w:rPr>
        <w:t>Tabela 8. Informacje o stanie rezerw</w:t>
      </w:r>
    </w:p>
    <w:p w:rsidR="002E61CA" w:rsidRPr="002E61CA" w:rsidRDefault="002E61CA" w:rsidP="002E61CA">
      <w:pPr>
        <w:spacing w:line="240" w:lineRule="auto"/>
        <w:rPr>
          <w:rFonts w:eastAsia="Times New Roman" w:cs="Times New Roman"/>
          <w:b/>
          <w:szCs w:val="24"/>
          <w:lang w:eastAsia="pl-PL"/>
        </w:rPr>
      </w:pPr>
    </w:p>
    <w:tbl>
      <w:tblPr>
        <w:tblW w:w="5184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1184"/>
        <w:gridCol w:w="1310"/>
        <w:gridCol w:w="1275"/>
        <w:gridCol w:w="1558"/>
        <w:gridCol w:w="1275"/>
        <w:gridCol w:w="1277"/>
        <w:gridCol w:w="1265"/>
      </w:tblGrid>
      <w:tr w:rsidR="002E61CA" w:rsidRPr="002E61CA" w:rsidTr="00C31D04">
        <w:trPr>
          <w:trHeight w:val="1242"/>
        </w:trPr>
        <w:tc>
          <w:tcPr>
            <w:tcW w:w="252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Lp.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615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 (rodzaj rezerw według celu utworzenia)</w:t>
            </w:r>
          </w:p>
        </w:tc>
        <w:tc>
          <w:tcPr>
            <w:tcW w:w="680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na początek okresu</w:t>
            </w:r>
          </w:p>
        </w:tc>
        <w:tc>
          <w:tcPr>
            <w:tcW w:w="662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Zwiększenia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134" w:type="pct"/>
            <w:gridSpan w:val="3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Zmniejszenia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657" w:type="pct"/>
            <w:vMerge w:val="restar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na koniec okresu</w:t>
            </w:r>
          </w:p>
        </w:tc>
      </w:tr>
      <w:tr w:rsidR="002E61CA" w:rsidRPr="002E61CA" w:rsidTr="00C31D04">
        <w:tc>
          <w:tcPr>
            <w:tcW w:w="252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15" w:type="pct"/>
            <w:vMerge/>
            <w:vAlign w:val="center"/>
          </w:tcPr>
          <w:p w:rsidR="002E61CA" w:rsidRPr="002E61CA" w:rsidRDefault="002E61CA" w:rsidP="002E61CA">
            <w:pPr>
              <w:spacing w:line="240" w:lineRule="auto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80" w:type="pct"/>
            <w:vMerge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  <w:vMerge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wykorzystanie</w:t>
            </w: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rozwiązanie</w:t>
            </w:r>
          </w:p>
        </w:tc>
        <w:tc>
          <w:tcPr>
            <w:tcW w:w="663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20"/>
                <w:szCs w:val="20"/>
                <w:lang w:eastAsia="pl-PL"/>
              </w:rPr>
              <w:t>razem</w:t>
            </w:r>
          </w:p>
        </w:tc>
        <w:tc>
          <w:tcPr>
            <w:tcW w:w="657" w:type="pct"/>
            <w:vMerge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8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3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5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8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3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5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252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61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68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809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2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63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657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:rsidR="002E61CA" w:rsidRP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401036" w:rsidRDefault="00401036" w:rsidP="00401036">
      <w:pPr>
        <w:pStyle w:val="Default"/>
      </w:pPr>
    </w:p>
    <w:p w:rsidR="00401036" w:rsidRDefault="00401036" w:rsidP="0040103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i) Punkt 1.9. </w:t>
      </w:r>
    </w:p>
    <w:p w:rsidR="00401036" w:rsidRDefault="00401036" w:rsidP="00B41D19">
      <w:pPr>
        <w:pStyle w:val="Default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Podział zobowiązań długoterminowych według pozycji bilansu o pozostałym od dnia bilansowego, przewidywanym umową lub wynikającym z innego tytułu prawnego, okresie spłaty: </w:t>
      </w:r>
    </w:p>
    <w:p w:rsidR="00401036" w:rsidRDefault="00401036" w:rsidP="00401036">
      <w:pPr>
        <w:pStyle w:val="Default"/>
        <w:spacing w:after="181"/>
        <w:rPr>
          <w:sz w:val="23"/>
          <w:szCs w:val="23"/>
        </w:rPr>
      </w:pPr>
      <w:r>
        <w:rPr>
          <w:sz w:val="23"/>
          <w:szCs w:val="23"/>
        </w:rPr>
        <w:t xml:space="preserve">- powyżej 1 roku do 3 lat, </w:t>
      </w:r>
    </w:p>
    <w:p w:rsidR="00401036" w:rsidRDefault="00401036" w:rsidP="00401036">
      <w:pPr>
        <w:pStyle w:val="Default"/>
        <w:spacing w:after="181"/>
        <w:rPr>
          <w:sz w:val="23"/>
          <w:szCs w:val="23"/>
        </w:rPr>
      </w:pPr>
      <w:r>
        <w:rPr>
          <w:sz w:val="23"/>
          <w:szCs w:val="23"/>
        </w:rPr>
        <w:t xml:space="preserve">- powyżej 3 do 5 lat, </w:t>
      </w:r>
    </w:p>
    <w:p w:rsidR="00401036" w:rsidRDefault="00401036" w:rsidP="0040103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powyżej 5 lat. </w:t>
      </w:r>
    </w:p>
    <w:p w:rsidR="00401036" w:rsidRDefault="00401036" w:rsidP="00401036">
      <w:pPr>
        <w:pStyle w:val="Default"/>
        <w:rPr>
          <w:sz w:val="23"/>
          <w:szCs w:val="23"/>
        </w:rPr>
      </w:pPr>
    </w:p>
    <w:p w:rsidR="00C95F80" w:rsidRDefault="00401036" w:rsidP="0040103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W punkcie tym należy przedstawić długoterminowe zobowiązania według okresu ich spłaty zgodnie z poniższą tabelą nr 9.</w:t>
      </w:r>
    </w:p>
    <w:p w:rsidR="002E61CA" w:rsidRDefault="002E61CA" w:rsidP="00401036">
      <w:pPr>
        <w:pStyle w:val="Default"/>
        <w:rPr>
          <w:sz w:val="23"/>
          <w:szCs w:val="23"/>
        </w:rPr>
      </w:pPr>
    </w:p>
    <w:p w:rsidR="002E61CA" w:rsidRDefault="002E61CA" w:rsidP="00401036">
      <w:pPr>
        <w:pStyle w:val="Default"/>
        <w:rPr>
          <w:sz w:val="23"/>
          <w:szCs w:val="23"/>
        </w:rPr>
      </w:pPr>
    </w:p>
    <w:p w:rsidR="001D35AE" w:rsidRDefault="001D35AE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</w:p>
    <w:p w:rsidR="002E61CA" w:rsidRDefault="002E61CA" w:rsidP="002E61CA">
      <w:pPr>
        <w:spacing w:line="240" w:lineRule="auto"/>
        <w:rPr>
          <w:rFonts w:eastAsia="Times New Roman" w:cs="Times New Roman"/>
          <w:b/>
          <w:sz w:val="20"/>
          <w:szCs w:val="20"/>
          <w:lang w:eastAsia="pl-PL"/>
        </w:rPr>
      </w:pPr>
      <w:r w:rsidRPr="002E61CA">
        <w:rPr>
          <w:rFonts w:eastAsia="Times New Roman" w:cs="Times New Roman"/>
          <w:b/>
          <w:sz w:val="20"/>
          <w:szCs w:val="20"/>
          <w:lang w:eastAsia="pl-PL"/>
        </w:rPr>
        <w:lastRenderedPageBreak/>
        <w:t>Tabela 9. Pozostały okres spłaty zobowiązań długoterminowych</w:t>
      </w:r>
    </w:p>
    <w:p w:rsidR="00B41D19" w:rsidRPr="002E61CA" w:rsidRDefault="00B41D19" w:rsidP="002E61CA">
      <w:pPr>
        <w:spacing w:line="240" w:lineRule="auto"/>
        <w:rPr>
          <w:rFonts w:eastAsia="Times New Roman" w:cs="Times New Roman"/>
          <w:b/>
          <w:szCs w:val="24"/>
          <w:lang w:eastAsia="pl-PL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2"/>
        <w:gridCol w:w="1130"/>
        <w:gridCol w:w="992"/>
        <w:gridCol w:w="851"/>
        <w:gridCol w:w="992"/>
        <w:gridCol w:w="1134"/>
        <w:gridCol w:w="992"/>
        <w:gridCol w:w="992"/>
        <w:gridCol w:w="993"/>
        <w:gridCol w:w="992"/>
      </w:tblGrid>
      <w:tr w:rsidR="002E61CA" w:rsidRPr="002E61CA" w:rsidTr="00C31D04">
        <w:tc>
          <w:tcPr>
            <w:tcW w:w="572" w:type="dxa"/>
            <w:vMerge w:val="restart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1130" w:type="dxa"/>
            <w:vMerge w:val="restart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 (zobowiązania według pozycji bilansu)</w:t>
            </w:r>
          </w:p>
        </w:tc>
        <w:tc>
          <w:tcPr>
            <w:tcW w:w="5953" w:type="dxa"/>
            <w:gridSpan w:val="6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Okres wymagalności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2E61CA" w:rsidRPr="002E61CA" w:rsidTr="00C31D04">
        <w:tc>
          <w:tcPr>
            <w:tcW w:w="572" w:type="dxa"/>
            <w:vMerge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130" w:type="dxa"/>
            <w:vMerge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powyżej 1 roku do 3 lat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powyżej 3 lat do 5 lat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powyżej 5 lat</w:t>
            </w:r>
          </w:p>
        </w:tc>
        <w:tc>
          <w:tcPr>
            <w:tcW w:w="1985" w:type="dxa"/>
            <w:gridSpan w:val="2"/>
            <w:vMerge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</w:tr>
      <w:tr w:rsidR="002E61CA" w:rsidRPr="002E61CA" w:rsidTr="00C31D04">
        <w:tc>
          <w:tcPr>
            <w:tcW w:w="572" w:type="dxa"/>
            <w:vMerge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130" w:type="dxa"/>
            <w:vMerge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7938" w:type="dxa"/>
            <w:gridSpan w:val="8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stan na</w:t>
            </w:r>
          </w:p>
        </w:tc>
      </w:tr>
      <w:tr w:rsidR="002E61CA" w:rsidRPr="002E61CA" w:rsidTr="00C31D04">
        <w:tc>
          <w:tcPr>
            <w:tcW w:w="572" w:type="dxa"/>
            <w:vMerge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130" w:type="dxa"/>
            <w:vMerge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początek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okresu sprawozdawczego</w:t>
            </w:r>
          </w:p>
        </w:tc>
        <w:tc>
          <w:tcPr>
            <w:tcW w:w="851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koniec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 xml:space="preserve"> okresu sprawozdawczego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początek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okresu sprawozdawczego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koniec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okresu sprawozdawczego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początek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okresu sprawozdawczego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koniec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okresu sprawozdawczego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początek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okresu sprawozdawczego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koniec</w:t>
            </w:r>
          </w:p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okresu sprawozdawczego</w:t>
            </w:r>
          </w:p>
        </w:tc>
      </w:tr>
      <w:tr w:rsidR="002E61CA" w:rsidRPr="002E61CA" w:rsidTr="00C31D04">
        <w:trPr>
          <w:trHeight w:val="240"/>
        </w:trPr>
        <w:tc>
          <w:tcPr>
            <w:tcW w:w="57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1130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</w:tr>
      <w:tr w:rsidR="002E61CA" w:rsidRPr="002E61CA" w:rsidTr="00C31D04">
        <w:trPr>
          <w:trHeight w:val="240"/>
        </w:trPr>
        <w:tc>
          <w:tcPr>
            <w:tcW w:w="57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1130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</w:tr>
      <w:tr w:rsidR="002E61CA" w:rsidRPr="002E61CA" w:rsidTr="00C31D04">
        <w:trPr>
          <w:trHeight w:val="240"/>
        </w:trPr>
        <w:tc>
          <w:tcPr>
            <w:tcW w:w="57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1130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851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</w:p>
        </w:tc>
      </w:tr>
      <w:tr w:rsidR="002E61CA" w:rsidRPr="002E61CA" w:rsidTr="00C31D04">
        <w:tc>
          <w:tcPr>
            <w:tcW w:w="57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Cs w:val="24"/>
                <w:lang w:eastAsia="pl-PL"/>
              </w:rPr>
            </w:pPr>
          </w:p>
        </w:tc>
        <w:tc>
          <w:tcPr>
            <w:tcW w:w="1130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Cs w:val="24"/>
                <w:lang w:eastAsia="pl-PL"/>
              </w:rPr>
            </w:pPr>
          </w:p>
        </w:tc>
        <w:tc>
          <w:tcPr>
            <w:tcW w:w="851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Cs w:val="24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Cs w:val="24"/>
                <w:lang w:eastAsia="pl-PL"/>
              </w:rPr>
            </w:pPr>
          </w:p>
        </w:tc>
        <w:tc>
          <w:tcPr>
            <w:tcW w:w="1134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Cs w:val="24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Cs w:val="24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Cs w:val="24"/>
                <w:lang w:eastAsia="pl-PL"/>
              </w:rPr>
            </w:pPr>
          </w:p>
        </w:tc>
        <w:tc>
          <w:tcPr>
            <w:tcW w:w="993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Cs w:val="24"/>
                <w:lang w:eastAsia="pl-PL"/>
              </w:rPr>
            </w:pPr>
          </w:p>
        </w:tc>
        <w:tc>
          <w:tcPr>
            <w:tcW w:w="992" w:type="dxa"/>
            <w:shd w:val="clear" w:color="auto" w:fill="auto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Cs w:val="24"/>
                <w:lang w:eastAsia="pl-PL"/>
              </w:rPr>
            </w:pPr>
          </w:p>
        </w:tc>
      </w:tr>
    </w:tbl>
    <w:p w:rsidR="002E61CA" w:rsidRP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2E61CA" w:rsidRPr="002E61CA" w:rsidRDefault="002E61CA" w:rsidP="002E61CA">
      <w:pPr>
        <w:spacing w:line="240" w:lineRule="auto"/>
        <w:jc w:val="center"/>
        <w:rPr>
          <w:rFonts w:eastAsia="Times New Roman" w:cs="Times New Roman"/>
          <w:b/>
          <w:szCs w:val="24"/>
          <w:lang w:eastAsia="pl-PL"/>
        </w:rPr>
      </w:pPr>
    </w:p>
    <w:p w:rsidR="00C95F80" w:rsidRPr="00C95F80" w:rsidRDefault="00C95F80" w:rsidP="00C95F80">
      <w:pPr>
        <w:pStyle w:val="Default"/>
        <w:rPr>
          <w:sz w:val="23"/>
          <w:szCs w:val="23"/>
        </w:rPr>
      </w:pPr>
      <w:r w:rsidRPr="00C95F80">
        <w:rPr>
          <w:sz w:val="23"/>
          <w:szCs w:val="23"/>
        </w:rPr>
        <w:t xml:space="preserve">j) Punkt 1.10. </w:t>
      </w:r>
    </w:p>
    <w:p w:rsidR="00C95F80" w:rsidRPr="00C95F80" w:rsidRDefault="00C95F80" w:rsidP="00735605">
      <w:pPr>
        <w:pStyle w:val="Default"/>
        <w:jc w:val="both"/>
        <w:rPr>
          <w:sz w:val="23"/>
          <w:szCs w:val="23"/>
        </w:rPr>
      </w:pPr>
      <w:r w:rsidRPr="00C95F80">
        <w:rPr>
          <w:b/>
          <w:bCs/>
          <w:i/>
          <w:iCs/>
          <w:sz w:val="23"/>
          <w:szCs w:val="23"/>
        </w:rPr>
        <w:t xml:space="preserve">Kwota zobowiązań w sytuacji, gdy jednostka kwalifikuje umowy leasingu zgodnie z przepisami podatkowymi (leasing operacyjny), a według przepisów o rachunkowości byłby to leasing finansowy lub zwrotny z podziałem na kwotę zobowiązań z tytułu leasingu finansowego lub zwrotnego. </w:t>
      </w:r>
    </w:p>
    <w:p w:rsidR="00C95F80" w:rsidRPr="00C95F80" w:rsidRDefault="00C95F80" w:rsidP="00C95F80">
      <w:pPr>
        <w:pStyle w:val="Default"/>
        <w:rPr>
          <w:sz w:val="23"/>
          <w:szCs w:val="23"/>
        </w:rPr>
      </w:pPr>
    </w:p>
    <w:p w:rsidR="00C95F80" w:rsidRPr="00C95F80" w:rsidRDefault="00C95F80" w:rsidP="00C95F80">
      <w:pPr>
        <w:pStyle w:val="Default"/>
        <w:rPr>
          <w:sz w:val="23"/>
          <w:szCs w:val="23"/>
        </w:rPr>
      </w:pPr>
      <w:r w:rsidRPr="00C95F80">
        <w:rPr>
          <w:sz w:val="23"/>
          <w:szCs w:val="23"/>
        </w:rPr>
        <w:t xml:space="preserve">k) Punkt 1.11. </w:t>
      </w:r>
    </w:p>
    <w:p w:rsidR="00C95F80" w:rsidRPr="00C95F80" w:rsidRDefault="00C95F80" w:rsidP="00C95F80">
      <w:pPr>
        <w:pStyle w:val="Default"/>
        <w:rPr>
          <w:sz w:val="23"/>
          <w:szCs w:val="23"/>
        </w:rPr>
      </w:pPr>
      <w:r w:rsidRPr="00C95F80">
        <w:rPr>
          <w:b/>
          <w:bCs/>
          <w:i/>
          <w:iCs/>
          <w:sz w:val="23"/>
          <w:szCs w:val="23"/>
        </w:rPr>
        <w:t xml:space="preserve">Łączna kwota zobowiązań zabezpieczonych na majątku jednostki ze wskazaniem charakteru i form tych zabezpieczeń. </w:t>
      </w:r>
    </w:p>
    <w:p w:rsidR="00C95F80" w:rsidRPr="00C95F80" w:rsidRDefault="00C95F80" w:rsidP="00C95F80">
      <w:pPr>
        <w:pStyle w:val="Default"/>
        <w:rPr>
          <w:sz w:val="23"/>
          <w:szCs w:val="23"/>
        </w:rPr>
      </w:pPr>
      <w:r w:rsidRPr="00C95F80">
        <w:rPr>
          <w:sz w:val="23"/>
          <w:szCs w:val="23"/>
        </w:rPr>
        <w:t>Powyższe dane należy przedstawić w formie poniższej tabeli nr 10.</w:t>
      </w:r>
    </w:p>
    <w:p w:rsidR="00C95F80" w:rsidRPr="00C95F80" w:rsidRDefault="00C95F80" w:rsidP="00C95F80">
      <w:pPr>
        <w:pStyle w:val="Default"/>
        <w:rPr>
          <w:sz w:val="23"/>
          <w:szCs w:val="23"/>
        </w:rPr>
      </w:pPr>
    </w:p>
    <w:p w:rsidR="002E61CA" w:rsidRDefault="002E61CA" w:rsidP="002E61CA">
      <w:pPr>
        <w:rPr>
          <w:rFonts w:eastAsia="Times New Roman" w:cs="Times New Roman"/>
          <w:b/>
          <w:sz w:val="20"/>
          <w:szCs w:val="20"/>
          <w:lang w:eastAsia="pl-PL"/>
        </w:rPr>
      </w:pPr>
      <w:r w:rsidRPr="002E61CA">
        <w:rPr>
          <w:rFonts w:eastAsia="Times New Roman" w:cs="Times New Roman"/>
          <w:b/>
          <w:sz w:val="20"/>
          <w:szCs w:val="20"/>
          <w:lang w:eastAsia="pl-PL"/>
        </w:rPr>
        <w:t>Tabela 10. Łączna kwota zobowiązań zabezpieczonych na majątku jednostki ze wskazaniem charakteru i formy zabezpieczeń</w:t>
      </w:r>
    </w:p>
    <w:p w:rsidR="00735605" w:rsidRDefault="00735605" w:rsidP="002E61CA">
      <w:pPr>
        <w:rPr>
          <w:rFonts w:eastAsia="Times New Roman" w:cs="Times New Roman"/>
          <w:b/>
          <w:sz w:val="20"/>
          <w:szCs w:val="20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9"/>
        <w:gridCol w:w="2164"/>
        <w:gridCol w:w="1891"/>
        <w:gridCol w:w="2322"/>
        <w:gridCol w:w="2322"/>
      </w:tblGrid>
      <w:tr w:rsidR="002E61CA" w:rsidRPr="002E61CA" w:rsidTr="00C31D04">
        <w:tc>
          <w:tcPr>
            <w:tcW w:w="317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116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 (rodzaj zobowiązania)</w:t>
            </w:r>
          </w:p>
        </w:tc>
        <w:tc>
          <w:tcPr>
            <w:tcW w:w="1018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Kwota zobowiązania</w:t>
            </w:r>
          </w:p>
        </w:tc>
        <w:tc>
          <w:tcPr>
            <w:tcW w:w="1250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Wyszczególnienie (forma i charakter zabezpieczenia)</w:t>
            </w:r>
          </w:p>
        </w:tc>
        <w:tc>
          <w:tcPr>
            <w:tcW w:w="1250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b/>
                <w:sz w:val="18"/>
                <w:szCs w:val="18"/>
                <w:lang w:eastAsia="pl-PL"/>
              </w:rPr>
              <w:t>Kwota zabezpieczenia</w:t>
            </w:r>
          </w:p>
        </w:tc>
      </w:tr>
      <w:tr w:rsidR="002E61CA" w:rsidRPr="002E61CA" w:rsidTr="00C31D04">
        <w:tc>
          <w:tcPr>
            <w:tcW w:w="317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1,</w:t>
            </w:r>
          </w:p>
        </w:tc>
        <w:tc>
          <w:tcPr>
            <w:tcW w:w="116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1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5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5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17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116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1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5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5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2E61CA" w:rsidRPr="002E61CA" w:rsidTr="00C31D04">
        <w:tc>
          <w:tcPr>
            <w:tcW w:w="317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165" w:type="pct"/>
            <w:vAlign w:val="center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sz w:val="18"/>
                <w:szCs w:val="18"/>
                <w:lang w:eastAsia="pl-PL"/>
              </w:rPr>
            </w:pPr>
            <w:r w:rsidRPr="002E61CA">
              <w:rPr>
                <w:rFonts w:eastAsia="Times New Roman" w:cs="Times New Roman"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1018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5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50" w:type="pct"/>
          </w:tcPr>
          <w:p w:rsidR="002E61CA" w:rsidRPr="002E61CA" w:rsidRDefault="002E61CA" w:rsidP="002E61CA">
            <w:pPr>
              <w:spacing w:line="240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:rsidR="00401036" w:rsidRDefault="00401036" w:rsidP="00401036">
      <w:pPr>
        <w:pStyle w:val="Default"/>
        <w:rPr>
          <w:sz w:val="23"/>
          <w:szCs w:val="23"/>
        </w:rPr>
      </w:pPr>
    </w:p>
    <w:p w:rsidR="001D35AE" w:rsidRDefault="001D35AE" w:rsidP="00401036">
      <w:pPr>
        <w:pStyle w:val="Default"/>
        <w:rPr>
          <w:sz w:val="23"/>
          <w:szCs w:val="23"/>
        </w:rPr>
      </w:pPr>
    </w:p>
    <w:p w:rsidR="00C95F80" w:rsidRPr="00C95F80" w:rsidRDefault="00C95F80" w:rsidP="00C95F80">
      <w:pPr>
        <w:jc w:val="both"/>
        <w:rPr>
          <w:rFonts w:cs="Times New Roman"/>
        </w:rPr>
      </w:pPr>
      <w:r w:rsidRPr="00C95F80">
        <w:rPr>
          <w:rFonts w:cs="Times New Roman"/>
        </w:rPr>
        <w:t xml:space="preserve">l) Punkt 1.12. </w:t>
      </w:r>
    </w:p>
    <w:p w:rsidR="00C95F80" w:rsidRPr="00C95F80" w:rsidRDefault="00C95F80" w:rsidP="00C95F80">
      <w:pPr>
        <w:jc w:val="both"/>
        <w:rPr>
          <w:rFonts w:cs="Times New Roman"/>
        </w:rPr>
      </w:pPr>
      <w:r w:rsidRPr="00C95F80">
        <w:rPr>
          <w:rFonts w:cs="Times New Roman"/>
          <w:b/>
          <w:bCs/>
          <w:i/>
          <w:iCs/>
        </w:rPr>
        <w:t xml:space="preserve">Łączna kwota zobowiązań warunkowych, w tym również udzielonych przez jednostkę gwarancji i poręczeń, także wekslowych, niewykazanych w bilansie, ze wskazaniem zobowiązań zabezpieczonych na majątku jednostki oraz charakteru i formy tych zabezpieczeń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9288"/>
      </w:tblGrid>
      <w:tr w:rsidR="00C95F80" w:rsidRPr="00C95F80" w:rsidTr="00C31D04">
        <w:trPr>
          <w:trHeight w:val="99"/>
        </w:trPr>
        <w:tc>
          <w:tcPr>
            <w:tcW w:w="9833" w:type="dxa"/>
          </w:tcPr>
          <w:p w:rsidR="00C95F80" w:rsidRDefault="00C95F80" w:rsidP="00735605">
            <w:pPr>
              <w:jc w:val="both"/>
              <w:rPr>
                <w:rFonts w:cs="Times New Roman"/>
              </w:rPr>
            </w:pPr>
            <w:r w:rsidRPr="00C95F80">
              <w:rPr>
                <w:rFonts w:cs="Times New Roman"/>
              </w:rPr>
              <w:t xml:space="preserve">Wartość i rodzaj zobowiązań warunkowych należy przedstawić w formie tabeli </w:t>
            </w:r>
            <w:r>
              <w:rPr>
                <w:rFonts w:cs="Times New Roman"/>
              </w:rPr>
              <w:t>n</w:t>
            </w:r>
            <w:r w:rsidRPr="00C95F80">
              <w:rPr>
                <w:rFonts w:cs="Times New Roman"/>
              </w:rPr>
              <w:t xml:space="preserve">r </w:t>
            </w:r>
            <w:r>
              <w:rPr>
                <w:rFonts w:cs="Times New Roman"/>
              </w:rPr>
              <w:t>11</w:t>
            </w:r>
            <w:r w:rsidRPr="00C95F80">
              <w:rPr>
                <w:rFonts w:cs="Times New Roman"/>
              </w:rPr>
              <w:t>.</w:t>
            </w:r>
          </w:p>
          <w:p w:rsidR="00735605" w:rsidRPr="00C95F80" w:rsidRDefault="00735605" w:rsidP="00735605">
            <w:pPr>
              <w:jc w:val="both"/>
              <w:rPr>
                <w:rFonts w:cs="Times New Roman"/>
              </w:rPr>
            </w:pPr>
          </w:p>
        </w:tc>
      </w:tr>
      <w:tr w:rsidR="00C95F80" w:rsidRPr="00C95F80" w:rsidTr="00C31D04">
        <w:trPr>
          <w:trHeight w:val="222"/>
        </w:trPr>
        <w:tc>
          <w:tcPr>
            <w:tcW w:w="983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9009"/>
            </w:tblGrid>
            <w:tr w:rsidR="00357E25" w:rsidRPr="00357E25" w:rsidTr="00C31D04">
              <w:trPr>
                <w:trHeight w:val="99"/>
              </w:trPr>
              <w:tc>
                <w:tcPr>
                  <w:tcW w:w="9009" w:type="dxa"/>
                </w:tcPr>
                <w:p w:rsidR="002E61CA" w:rsidRPr="002E61CA" w:rsidRDefault="002E61CA" w:rsidP="002E61CA">
                  <w:pPr>
                    <w:spacing w:line="240" w:lineRule="auto"/>
                    <w:rPr>
                      <w:rFonts w:eastAsia="Times New Roman" w:cs="Times New Roman"/>
                      <w:b/>
                      <w:sz w:val="20"/>
                      <w:szCs w:val="20"/>
                      <w:lang w:eastAsia="pl-PL"/>
                    </w:rPr>
                  </w:pPr>
                  <w:r w:rsidRPr="002E61CA">
                    <w:rPr>
                      <w:rFonts w:eastAsia="Times New Roman" w:cs="Times New Roman"/>
                      <w:b/>
                      <w:sz w:val="20"/>
                      <w:szCs w:val="20"/>
                      <w:lang w:eastAsia="pl-PL"/>
                    </w:rPr>
                    <w:t>Tabela 11. Zabezpieczenia warunkowe na dzień bilansowy</w:t>
                  </w:r>
                </w:p>
                <w:p w:rsidR="002E61CA" w:rsidRPr="002E61CA" w:rsidRDefault="002E61CA" w:rsidP="002E61CA">
                  <w:pPr>
                    <w:spacing w:line="240" w:lineRule="auto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tbl>
                  <w:tblPr>
                    <w:tblW w:w="5000" w:type="pct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557"/>
                    <w:gridCol w:w="2046"/>
                    <w:gridCol w:w="1788"/>
                    <w:gridCol w:w="2196"/>
                    <w:gridCol w:w="2196"/>
                  </w:tblGrid>
                  <w:tr w:rsidR="002E61CA" w:rsidRPr="002E61CA" w:rsidTr="001D35AE">
                    <w:tc>
                      <w:tcPr>
                        <w:tcW w:w="317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2E61CA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Lp.</w:t>
                        </w:r>
                      </w:p>
                    </w:tc>
                    <w:tc>
                      <w:tcPr>
                        <w:tcW w:w="1165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2E61CA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Wyszczególnienie (rodzaj zobowiązania warunkowego)</w:t>
                        </w:r>
                      </w:p>
                    </w:tc>
                    <w:tc>
                      <w:tcPr>
                        <w:tcW w:w="1018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2E61CA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Kwota zobowiązania warunkowego</w:t>
                        </w:r>
                      </w:p>
                    </w:tc>
                    <w:tc>
                      <w:tcPr>
                        <w:tcW w:w="1250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2E61CA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Wyszczególnienie (forma i charakter zabezpieczenia zobowiązania warunkowego)</w:t>
                        </w:r>
                      </w:p>
                    </w:tc>
                    <w:tc>
                      <w:tcPr>
                        <w:tcW w:w="1250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2E61CA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Kwota zabezpieczenia</w:t>
                        </w:r>
                      </w:p>
                    </w:tc>
                  </w:tr>
                  <w:tr w:rsidR="002E61CA" w:rsidRPr="002E61CA" w:rsidTr="001D35AE">
                    <w:tc>
                      <w:tcPr>
                        <w:tcW w:w="317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2E61CA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1,</w:t>
                        </w:r>
                      </w:p>
                    </w:tc>
                    <w:tc>
                      <w:tcPr>
                        <w:tcW w:w="1165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018" w:type="pct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250" w:type="pct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250" w:type="pct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2E61CA" w:rsidRPr="002E61CA" w:rsidTr="001D35AE">
                    <w:tc>
                      <w:tcPr>
                        <w:tcW w:w="317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2E61CA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2.</w:t>
                        </w:r>
                      </w:p>
                    </w:tc>
                    <w:tc>
                      <w:tcPr>
                        <w:tcW w:w="1165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018" w:type="pct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250" w:type="pct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250" w:type="pct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2E61CA" w:rsidRPr="002E61CA" w:rsidTr="001D35AE">
                    <w:tc>
                      <w:tcPr>
                        <w:tcW w:w="317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165" w:type="pct"/>
                        <w:vAlign w:val="center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2E61CA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Razem</w:t>
                        </w:r>
                      </w:p>
                    </w:tc>
                    <w:tc>
                      <w:tcPr>
                        <w:tcW w:w="1018" w:type="pct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250" w:type="pct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250" w:type="pct"/>
                      </w:tcPr>
                      <w:p w:rsidR="002E61CA" w:rsidRPr="002E61CA" w:rsidRDefault="002E61CA" w:rsidP="002E61CA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</w:tbl>
                <w:p w:rsidR="00357E25" w:rsidRPr="00357E25" w:rsidRDefault="00357E25" w:rsidP="00357E25">
                  <w:pPr>
                    <w:ind w:left="708"/>
                    <w:jc w:val="both"/>
                    <w:rPr>
                      <w:rFonts w:cs="Times New Roman"/>
                    </w:rPr>
                  </w:pPr>
                </w:p>
              </w:tc>
            </w:tr>
            <w:tr w:rsidR="00357E25" w:rsidRPr="00357E25" w:rsidTr="00C31D04">
              <w:trPr>
                <w:trHeight w:val="99"/>
              </w:trPr>
              <w:tc>
                <w:tcPr>
                  <w:tcW w:w="9009" w:type="dxa"/>
                </w:tcPr>
                <w:p w:rsidR="00C31D04" w:rsidRPr="00357E25" w:rsidRDefault="00A51011" w:rsidP="00C31D04">
                  <w:pPr>
                    <w:jc w:val="both"/>
                    <w:rPr>
                      <w:rFonts w:cs="Times New Roman"/>
                    </w:rPr>
                  </w:pPr>
                  <w:r>
                    <w:rPr>
                      <w:rFonts w:cs="Times New Roman"/>
                    </w:rPr>
                    <w:lastRenderedPageBreak/>
                    <w:t>ł</w:t>
                  </w:r>
                  <w:r w:rsidR="00C31D04" w:rsidRPr="00357E25">
                    <w:rPr>
                      <w:rFonts w:cs="Times New Roman"/>
                    </w:rPr>
                    <w:t xml:space="preserve">) Punkt 1.13. </w:t>
                  </w:r>
                </w:p>
                <w:p w:rsidR="00C31D04" w:rsidRPr="00357E2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357E25">
                    <w:rPr>
                      <w:rFonts w:cs="Times New Roman"/>
                      <w:b/>
                      <w:bCs/>
                      <w:i/>
                      <w:iCs/>
                    </w:rPr>
                    <w:t>Wykaz istotnych pozycji czynnych i biernych rozliczeń międzyokresowych, w tym kwota czynnych rozliczeń międzyokresowych kosztów stanowiących różnicę miedzy wartością otrzymanych finansowych składników aktywów a zobowiązaniem zapłaty za nie</w:t>
                  </w:r>
                  <w:r w:rsidRPr="00357E25">
                    <w:rPr>
                      <w:rFonts w:cs="Times New Roman"/>
                    </w:rPr>
                    <w:t xml:space="preserve">. </w:t>
                  </w:r>
                </w:p>
                <w:p w:rsidR="00C31D04" w:rsidRDefault="00C31D04" w:rsidP="00C31D04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95F80">
                    <w:rPr>
                      <w:sz w:val="23"/>
                      <w:szCs w:val="23"/>
                    </w:rPr>
                    <w:t>Powyższe dane należy przedstawić w formie poniższej tabeli nr 1</w:t>
                  </w:r>
                  <w:r>
                    <w:rPr>
                      <w:sz w:val="23"/>
                      <w:szCs w:val="23"/>
                    </w:rPr>
                    <w:t>2</w:t>
                  </w:r>
                  <w:r w:rsidRPr="00C95F80">
                    <w:rPr>
                      <w:sz w:val="23"/>
                      <w:szCs w:val="23"/>
                    </w:rPr>
                    <w:t>.</w:t>
                  </w:r>
                </w:p>
                <w:p w:rsidR="00C31D04" w:rsidRPr="00C95F80" w:rsidRDefault="00C31D04" w:rsidP="00C31D04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  <w:p w:rsidR="00C31D04" w:rsidRPr="00FC4A07" w:rsidRDefault="00C31D04" w:rsidP="00C31D04">
                  <w:pPr>
                    <w:rPr>
                      <w:rFonts w:eastAsia="Times New Roman" w:cs="Times New Roman"/>
                      <w:b/>
                      <w:sz w:val="20"/>
                      <w:szCs w:val="20"/>
                      <w:lang w:eastAsia="pl-PL"/>
                    </w:rPr>
                  </w:pPr>
                  <w:r w:rsidRPr="00FC4A07">
                    <w:rPr>
                      <w:rFonts w:eastAsia="Times New Roman" w:cs="Times New Roman"/>
                      <w:b/>
                      <w:sz w:val="20"/>
                      <w:szCs w:val="20"/>
                      <w:lang w:eastAsia="pl-PL"/>
                    </w:rPr>
                    <w:t>Tabela 12. Czynne i bierne rozliczenia międzyokresowe</w:t>
                  </w:r>
                </w:p>
                <w:p w:rsidR="00C31D04" w:rsidRPr="00FC4A07" w:rsidRDefault="00C31D04" w:rsidP="00C31D04">
                  <w:pPr>
                    <w:spacing w:line="240" w:lineRule="auto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tbl>
                  <w:tblPr>
                    <w:tblW w:w="5000" w:type="pct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741"/>
                    <w:gridCol w:w="2730"/>
                    <w:gridCol w:w="2384"/>
                    <w:gridCol w:w="2928"/>
                  </w:tblGrid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Lp.</w:t>
                        </w: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 xml:space="preserve">Wyszczególnienie </w:t>
                        </w:r>
                      </w:p>
                    </w:tc>
                    <w:tc>
                      <w:tcPr>
                        <w:tcW w:w="1357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Stan na początek okresu</w:t>
                        </w:r>
                      </w:p>
                    </w:tc>
                    <w:tc>
                      <w:tcPr>
                        <w:tcW w:w="1667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Stan na koniec okresu</w:t>
                        </w: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1,</w:t>
                        </w: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2.</w:t>
                        </w: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Razem czynne rozliczenia międzyokresowe</w:t>
                        </w: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1,</w:t>
                        </w: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2.</w:t>
                        </w: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Razem bierne rozliczenia międzyokresowe</w:t>
                        </w: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</w:tbl>
                <w:p w:rsidR="00C31D04" w:rsidRDefault="00C31D04" w:rsidP="00C31D04">
                  <w:pPr>
                    <w:spacing w:line="240" w:lineRule="auto"/>
                    <w:jc w:val="center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p w:rsidR="00C31D04" w:rsidRPr="00FC4A07" w:rsidRDefault="00C31D04" w:rsidP="00C31D04">
                  <w:pPr>
                    <w:spacing w:line="240" w:lineRule="auto"/>
                    <w:jc w:val="center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p w:rsidR="00C31D04" w:rsidRPr="00357E25" w:rsidRDefault="00A51011" w:rsidP="00C31D04">
                  <w:pPr>
                    <w:jc w:val="both"/>
                    <w:rPr>
                      <w:rFonts w:cs="Times New Roman"/>
                    </w:rPr>
                  </w:pPr>
                  <w:r>
                    <w:rPr>
                      <w:rFonts w:cs="Times New Roman"/>
                    </w:rPr>
                    <w:t>m</w:t>
                  </w:r>
                  <w:r w:rsidR="00C31D04" w:rsidRPr="00357E25">
                    <w:rPr>
                      <w:rFonts w:cs="Times New Roman"/>
                    </w:rPr>
                    <w:t xml:space="preserve">) Punkt 1.14. </w:t>
                  </w:r>
                </w:p>
                <w:p w:rsidR="00C31D04" w:rsidRPr="00357E25" w:rsidRDefault="006C0FBA" w:rsidP="00C31D04">
                  <w:pPr>
                    <w:jc w:val="both"/>
                    <w:rPr>
                      <w:rFonts w:cs="Times New Roman"/>
                    </w:rPr>
                  </w:pPr>
                  <w:r>
                    <w:rPr>
                      <w:rFonts w:cs="Times New Roman"/>
                      <w:b/>
                      <w:bCs/>
                      <w:i/>
                      <w:iCs/>
                    </w:rPr>
                    <w:t>Łączna k</w:t>
                  </w:r>
                  <w:r w:rsidR="00C31D04" w:rsidRPr="00357E25">
                    <w:rPr>
                      <w:rFonts w:cs="Times New Roman"/>
                      <w:b/>
                      <w:bCs/>
                      <w:i/>
                      <w:iCs/>
                    </w:rPr>
                    <w:t xml:space="preserve">wota otrzymanych przez jednostkę gwarancji i poręczeń niewykazanych w bilansie. </w:t>
                  </w:r>
                </w:p>
                <w:p w:rsidR="00C31D04" w:rsidRDefault="00C31D04" w:rsidP="00C31D04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95F80">
                    <w:rPr>
                      <w:sz w:val="23"/>
                      <w:szCs w:val="23"/>
                    </w:rPr>
                    <w:t>Powyższe dane należy przedstawić w formie poniższej tabeli nr 1</w:t>
                  </w:r>
                  <w:r>
                    <w:rPr>
                      <w:sz w:val="23"/>
                      <w:szCs w:val="23"/>
                    </w:rPr>
                    <w:t>3</w:t>
                  </w:r>
                  <w:r w:rsidRPr="00C95F80">
                    <w:rPr>
                      <w:sz w:val="23"/>
                      <w:szCs w:val="23"/>
                    </w:rPr>
                    <w:t>.</w:t>
                  </w:r>
                </w:p>
                <w:p w:rsidR="00C31D04" w:rsidRDefault="00C31D04" w:rsidP="00C31D04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  <w:p w:rsidR="00C31D04" w:rsidRPr="00FC4A07" w:rsidRDefault="00C31D04" w:rsidP="00C31D04">
                  <w:pPr>
                    <w:spacing w:line="240" w:lineRule="auto"/>
                    <w:rPr>
                      <w:rFonts w:eastAsia="Times New Roman" w:cs="Times New Roman"/>
                      <w:b/>
                      <w:sz w:val="20"/>
                      <w:szCs w:val="20"/>
                      <w:lang w:eastAsia="pl-PL"/>
                    </w:rPr>
                  </w:pPr>
                  <w:r w:rsidRPr="00FC4A07">
                    <w:rPr>
                      <w:rFonts w:eastAsia="Times New Roman" w:cs="Times New Roman"/>
                      <w:b/>
                      <w:sz w:val="20"/>
                      <w:szCs w:val="20"/>
                      <w:lang w:eastAsia="pl-PL"/>
                    </w:rPr>
                    <w:t>Tabela 13. Kwota otrzymanych gwarancji i poręczeń według stanu na dzień bilansowy</w:t>
                  </w:r>
                </w:p>
                <w:p w:rsidR="00C31D04" w:rsidRPr="00FC4A07" w:rsidRDefault="00C31D04" w:rsidP="00C31D04">
                  <w:pPr>
                    <w:spacing w:line="240" w:lineRule="auto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tbl>
                  <w:tblPr>
                    <w:tblW w:w="5000" w:type="pct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741"/>
                    <w:gridCol w:w="2730"/>
                    <w:gridCol w:w="2384"/>
                    <w:gridCol w:w="2928"/>
                  </w:tblGrid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Lp.</w:t>
                        </w: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Wyszczególnienie (rodzaj otrzymanych gwarancji i poręczeń)</w:t>
                        </w:r>
                      </w:p>
                    </w:tc>
                    <w:tc>
                      <w:tcPr>
                        <w:tcW w:w="1357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Kwota otrzymanych gwarancji i poręczeń</w:t>
                        </w:r>
                      </w:p>
                    </w:tc>
                    <w:tc>
                      <w:tcPr>
                        <w:tcW w:w="1667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Kwota zobowiązań zabezpieczonych otrzymanymi gwarancjami i poręczeniami</w:t>
                        </w: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1,</w:t>
                        </w: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2.</w:t>
                        </w: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42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554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 xml:space="preserve">Razem </w:t>
                        </w:r>
                      </w:p>
                    </w:tc>
                    <w:tc>
                      <w:tcPr>
                        <w:tcW w:w="13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166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</w:tbl>
                <w:p w:rsidR="00C31D04" w:rsidRDefault="00C31D04" w:rsidP="00C31D04">
                  <w:pPr>
                    <w:spacing w:line="240" w:lineRule="auto"/>
                    <w:jc w:val="center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p w:rsidR="00C31D04" w:rsidRDefault="00C31D04" w:rsidP="00C31D04">
                  <w:pPr>
                    <w:spacing w:line="240" w:lineRule="auto"/>
                    <w:jc w:val="center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p w:rsidR="00C31D04" w:rsidRPr="00357E25" w:rsidRDefault="00A51011" w:rsidP="00C31D04">
                  <w:pPr>
                    <w:jc w:val="both"/>
                    <w:rPr>
                      <w:rFonts w:cs="Times New Roman"/>
                    </w:rPr>
                  </w:pPr>
                  <w:r>
                    <w:rPr>
                      <w:rFonts w:cs="Times New Roman"/>
                    </w:rPr>
                    <w:t>n</w:t>
                  </w:r>
                  <w:r w:rsidR="00C31D04" w:rsidRPr="00357E25">
                    <w:rPr>
                      <w:rFonts w:cs="Times New Roman"/>
                    </w:rPr>
                    <w:t xml:space="preserve">) Punkt 1.15. </w:t>
                  </w:r>
                </w:p>
                <w:p w:rsidR="00C31D04" w:rsidRPr="00357E2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357E25">
                    <w:rPr>
                      <w:rFonts w:cs="Times New Roman"/>
                      <w:b/>
                      <w:bCs/>
                      <w:i/>
                      <w:iCs/>
                    </w:rPr>
                    <w:t xml:space="preserve">Kwota wypłaconych środków pieniężnych na świadczenia pracownicze. </w:t>
                  </w:r>
                </w:p>
                <w:p w:rsidR="00C31D04" w:rsidRPr="00357E2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357E25">
                    <w:rPr>
                      <w:rFonts w:cs="Times New Roman"/>
                    </w:rPr>
                    <w:t xml:space="preserve">W powyższym punkcie należy wykazać wartość świadczeń pracowniczych wypłaconych w trakcie roku obrotowego. </w:t>
                  </w:r>
                </w:p>
                <w:p w:rsidR="00C31D04" w:rsidRPr="00357E25" w:rsidRDefault="00C31D04" w:rsidP="00C31D04">
                  <w:pPr>
                    <w:jc w:val="both"/>
                    <w:rPr>
                      <w:rFonts w:cs="Times New Roman"/>
                    </w:rPr>
                  </w:pPr>
                </w:p>
                <w:p w:rsidR="00C31D04" w:rsidRPr="00357E25" w:rsidRDefault="00A51011" w:rsidP="00C31D04">
                  <w:pPr>
                    <w:jc w:val="both"/>
                    <w:rPr>
                      <w:rFonts w:cs="Times New Roman"/>
                    </w:rPr>
                  </w:pPr>
                  <w:r>
                    <w:rPr>
                      <w:rFonts w:cs="Times New Roman"/>
                    </w:rPr>
                    <w:t>o</w:t>
                  </w:r>
                  <w:r w:rsidR="00C31D04" w:rsidRPr="00357E25">
                    <w:rPr>
                      <w:rFonts w:cs="Times New Roman"/>
                    </w:rPr>
                    <w:t xml:space="preserve">) Punkt 1.16. </w:t>
                  </w:r>
                </w:p>
                <w:p w:rsidR="00C31D04" w:rsidRPr="00357E2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357E25">
                    <w:rPr>
                      <w:rFonts w:cs="Times New Roman"/>
                      <w:b/>
                      <w:bCs/>
                      <w:i/>
                      <w:iCs/>
                    </w:rPr>
                    <w:t xml:space="preserve">Inne informacje. </w:t>
                  </w:r>
                </w:p>
                <w:p w:rsidR="00C31D04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357E25">
                    <w:rPr>
                      <w:rFonts w:cs="Times New Roman"/>
                    </w:rPr>
                    <w:t>W powyższym punkcie należy przedstawić inne, istotne zdaniem jednostki informacje</w:t>
                  </w:r>
                  <w:r w:rsidR="00A51011">
                    <w:rPr>
                      <w:rFonts w:cs="Times New Roman"/>
                    </w:rPr>
                    <w:t>.</w:t>
                  </w:r>
                  <w:r w:rsidRPr="00357E25">
                    <w:rPr>
                      <w:rFonts w:cs="Times New Roman"/>
                    </w:rPr>
                    <w:t xml:space="preserve"> </w:t>
                  </w:r>
                </w:p>
                <w:p w:rsidR="00C31D04" w:rsidRPr="00357E25" w:rsidRDefault="00C31D04" w:rsidP="00C31D04">
                  <w:pPr>
                    <w:jc w:val="both"/>
                    <w:rPr>
                      <w:rFonts w:cs="Times New Roman"/>
                    </w:rPr>
                  </w:pPr>
                </w:p>
                <w:p w:rsidR="00C31D04" w:rsidRPr="00357E25" w:rsidRDefault="00A51011" w:rsidP="00C31D04">
                  <w:pPr>
                    <w:jc w:val="both"/>
                    <w:rPr>
                      <w:rFonts w:cs="Times New Roman"/>
                    </w:rPr>
                  </w:pPr>
                  <w:r>
                    <w:rPr>
                      <w:rFonts w:cs="Times New Roman"/>
                    </w:rPr>
                    <w:t>p</w:t>
                  </w:r>
                  <w:r w:rsidR="00C31D04" w:rsidRPr="00357E25">
                    <w:rPr>
                      <w:rFonts w:cs="Times New Roman"/>
                    </w:rPr>
                    <w:t xml:space="preserve">) Punkt 2.1. </w:t>
                  </w:r>
                </w:p>
                <w:p w:rsidR="00C31D04" w:rsidRPr="00357E2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357E25">
                    <w:rPr>
                      <w:rFonts w:cs="Times New Roman"/>
                      <w:b/>
                      <w:bCs/>
                      <w:i/>
                      <w:iCs/>
                    </w:rPr>
                    <w:t xml:space="preserve">Wysokość odpisów aktualizujących wartość zapasów. </w:t>
                  </w:r>
                </w:p>
                <w:p w:rsidR="00C31D04" w:rsidRDefault="00C31D04" w:rsidP="00C31D04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95F80">
                    <w:rPr>
                      <w:sz w:val="23"/>
                      <w:szCs w:val="23"/>
                    </w:rPr>
                    <w:t>Powyższe dane należy przedstawić w formie poniższej tabeli nr 1</w:t>
                  </w:r>
                  <w:r>
                    <w:rPr>
                      <w:sz w:val="23"/>
                      <w:szCs w:val="23"/>
                    </w:rPr>
                    <w:t>4</w:t>
                  </w:r>
                  <w:r w:rsidRPr="00C95F80">
                    <w:rPr>
                      <w:sz w:val="23"/>
                      <w:szCs w:val="23"/>
                    </w:rPr>
                    <w:t>.</w:t>
                  </w:r>
                </w:p>
                <w:p w:rsidR="00C31D04" w:rsidRDefault="00C31D04" w:rsidP="00C31D04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  <w:p w:rsidR="001D35AE" w:rsidRDefault="001D35AE" w:rsidP="00C31D04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  <w:p w:rsidR="00C31D04" w:rsidRDefault="00C31D04" w:rsidP="00C31D04">
                  <w:pPr>
                    <w:spacing w:line="240" w:lineRule="auto"/>
                    <w:rPr>
                      <w:rFonts w:eastAsia="Times New Roman" w:cs="Times New Roman"/>
                      <w:b/>
                      <w:sz w:val="20"/>
                      <w:szCs w:val="20"/>
                      <w:lang w:eastAsia="pl-PL"/>
                    </w:rPr>
                  </w:pPr>
                  <w:r w:rsidRPr="00FC4A07">
                    <w:rPr>
                      <w:rFonts w:eastAsia="Times New Roman" w:cs="Times New Roman"/>
                      <w:b/>
                      <w:sz w:val="20"/>
                      <w:szCs w:val="20"/>
                      <w:lang w:eastAsia="pl-PL"/>
                    </w:rPr>
                    <w:lastRenderedPageBreak/>
                    <w:t>Tabela 14. Wysokość odpisów aktualizujących wartość zapasów</w:t>
                  </w:r>
                </w:p>
                <w:p w:rsidR="00A51011" w:rsidRPr="00FC4A07" w:rsidRDefault="00A51011" w:rsidP="00C31D04">
                  <w:pPr>
                    <w:spacing w:line="240" w:lineRule="auto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tbl>
                  <w:tblPr>
                    <w:tblW w:w="5000" w:type="pct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2"/>
                    <w:gridCol w:w="1566"/>
                    <w:gridCol w:w="983"/>
                    <w:gridCol w:w="1167"/>
                    <w:gridCol w:w="1450"/>
                    <w:gridCol w:w="1238"/>
                    <w:gridCol w:w="954"/>
                    <w:gridCol w:w="943"/>
                  </w:tblGrid>
                  <w:tr w:rsidR="00C31D04" w:rsidRPr="00FC4A07" w:rsidTr="00C31D04">
                    <w:trPr>
                      <w:trHeight w:val="1242"/>
                    </w:trPr>
                    <w:tc>
                      <w:tcPr>
                        <w:tcW w:w="252" w:type="pct"/>
                        <w:vMerge w:val="restar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Lp.</w:t>
                        </w:r>
                      </w:p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15" w:type="pct"/>
                        <w:vMerge w:val="restar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Wyszczególnienie (rodzaj zapasów)</w:t>
                        </w:r>
                      </w:p>
                    </w:tc>
                    <w:tc>
                      <w:tcPr>
                        <w:tcW w:w="680" w:type="pct"/>
                        <w:vMerge w:val="restar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Stan odpisu na początek okresu</w:t>
                        </w:r>
                      </w:p>
                    </w:tc>
                    <w:tc>
                      <w:tcPr>
                        <w:tcW w:w="662" w:type="pct"/>
                        <w:vMerge w:val="restar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Zwiększenia</w:t>
                        </w:r>
                      </w:p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2134" w:type="pct"/>
                        <w:gridSpan w:val="3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Zmniejszenia</w:t>
                        </w:r>
                      </w:p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57" w:type="pct"/>
                        <w:vMerge w:val="restar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Stan odpisów na koniec okresu</w:t>
                        </w:r>
                      </w:p>
                    </w:tc>
                  </w:tr>
                  <w:tr w:rsidR="00C31D04" w:rsidRPr="00FC4A07" w:rsidTr="00C31D04">
                    <w:tc>
                      <w:tcPr>
                        <w:tcW w:w="252" w:type="pct"/>
                        <w:vMerge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15" w:type="pct"/>
                        <w:vMerge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80" w:type="pct"/>
                        <w:vMerge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2" w:type="pct"/>
                        <w:vMerge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09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  <w:t>wykorzystanie</w:t>
                        </w:r>
                      </w:p>
                    </w:tc>
                    <w:tc>
                      <w:tcPr>
                        <w:tcW w:w="662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  <w:t>rozwiązanie</w:t>
                        </w:r>
                      </w:p>
                    </w:tc>
                    <w:tc>
                      <w:tcPr>
                        <w:tcW w:w="663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  <w:t>razem</w:t>
                        </w:r>
                      </w:p>
                    </w:tc>
                    <w:tc>
                      <w:tcPr>
                        <w:tcW w:w="657" w:type="pct"/>
                        <w:vMerge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25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1.</w:t>
                        </w:r>
                      </w:p>
                    </w:tc>
                    <w:tc>
                      <w:tcPr>
                        <w:tcW w:w="615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80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2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09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2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3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25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2.</w:t>
                        </w:r>
                      </w:p>
                    </w:tc>
                    <w:tc>
                      <w:tcPr>
                        <w:tcW w:w="615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80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2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09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2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3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FC4A07" w:rsidTr="00C31D04">
                    <w:tc>
                      <w:tcPr>
                        <w:tcW w:w="252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15" w:type="pct"/>
                        <w:vAlign w:val="center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FC4A0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Razem</w:t>
                        </w:r>
                      </w:p>
                    </w:tc>
                    <w:tc>
                      <w:tcPr>
                        <w:tcW w:w="680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2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09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2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3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57" w:type="pct"/>
                      </w:tcPr>
                      <w:p w:rsidR="00C31D04" w:rsidRPr="00FC4A0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</w:tbl>
                <w:p w:rsidR="00C31D04" w:rsidRPr="00FC4A07" w:rsidRDefault="00C31D04" w:rsidP="00C31D04">
                  <w:pPr>
                    <w:spacing w:line="240" w:lineRule="auto"/>
                    <w:jc w:val="center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p w:rsidR="00C31D04" w:rsidRDefault="00C31D04" w:rsidP="00C31D04">
                  <w:pPr>
                    <w:jc w:val="both"/>
                    <w:rPr>
                      <w:rFonts w:cs="Times New Roman"/>
                    </w:rPr>
                  </w:pPr>
                </w:p>
                <w:p w:rsidR="00C31D04" w:rsidRPr="00357E2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357E25">
                    <w:rPr>
                      <w:rFonts w:cs="Times New Roman"/>
                    </w:rPr>
                    <w:t xml:space="preserve">r) Punkt 2.2. </w:t>
                  </w:r>
                </w:p>
                <w:p w:rsidR="00C31D04" w:rsidRPr="00357E2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357E25">
                    <w:rPr>
                      <w:rFonts w:cs="Times New Roman"/>
                      <w:b/>
                      <w:bCs/>
                      <w:i/>
                      <w:iCs/>
                    </w:rPr>
                    <w:t xml:space="preserve">Koszt wytworzenia środków trwałych w budowie, w tym odsetki oraz różnice kursowe, które powiększyły koszt wytworzenia środków trwałych w budowie w roku obrotowym </w:t>
                  </w:r>
                </w:p>
                <w:p w:rsidR="00C31D04" w:rsidRDefault="00C31D04" w:rsidP="00C31D04">
                  <w:pPr>
                    <w:pStyle w:val="Default"/>
                    <w:rPr>
                      <w:sz w:val="23"/>
                      <w:szCs w:val="23"/>
                    </w:rPr>
                  </w:pPr>
                  <w:r w:rsidRPr="00C95F80">
                    <w:rPr>
                      <w:sz w:val="23"/>
                      <w:szCs w:val="23"/>
                    </w:rPr>
                    <w:t>Powyższe dane należy przedstawić w formie poniższej tabeli nr 1</w:t>
                  </w:r>
                  <w:r>
                    <w:rPr>
                      <w:sz w:val="23"/>
                      <w:szCs w:val="23"/>
                    </w:rPr>
                    <w:t>5</w:t>
                  </w:r>
                  <w:r w:rsidRPr="00C95F80">
                    <w:rPr>
                      <w:sz w:val="23"/>
                      <w:szCs w:val="23"/>
                    </w:rPr>
                    <w:t>.</w:t>
                  </w:r>
                </w:p>
                <w:p w:rsidR="00C31D04" w:rsidRPr="00C95F80" w:rsidRDefault="00C31D04" w:rsidP="00C31D04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  <w:p w:rsidR="00C31D04" w:rsidRDefault="00C31D04" w:rsidP="00C31D04">
                  <w:pPr>
                    <w:spacing w:line="240" w:lineRule="auto"/>
                    <w:rPr>
                      <w:rFonts w:eastAsia="Times New Roman" w:cs="Times New Roman"/>
                      <w:b/>
                      <w:sz w:val="20"/>
                      <w:szCs w:val="20"/>
                      <w:lang w:eastAsia="pl-PL"/>
                    </w:rPr>
                  </w:pPr>
                  <w:r w:rsidRPr="00A553A7">
                    <w:rPr>
                      <w:rFonts w:eastAsia="Times New Roman" w:cs="Times New Roman"/>
                      <w:b/>
                      <w:sz w:val="20"/>
                      <w:szCs w:val="20"/>
                      <w:lang w:eastAsia="pl-PL"/>
                    </w:rPr>
                    <w:t>Tabela 15. Koszt wytworzenia środków trwałych w budowie</w:t>
                  </w:r>
                </w:p>
                <w:p w:rsidR="00A51011" w:rsidRPr="00A553A7" w:rsidRDefault="00A51011" w:rsidP="00C31D04">
                  <w:pPr>
                    <w:spacing w:line="240" w:lineRule="auto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tbl>
                  <w:tblPr>
                    <w:tblW w:w="5000" w:type="pct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2"/>
                    <w:gridCol w:w="1566"/>
                    <w:gridCol w:w="766"/>
                    <w:gridCol w:w="1148"/>
                    <w:gridCol w:w="1286"/>
                    <w:gridCol w:w="1285"/>
                    <w:gridCol w:w="828"/>
                    <w:gridCol w:w="1422"/>
                  </w:tblGrid>
                  <w:tr w:rsidR="00C31D04" w:rsidRPr="00A553A7" w:rsidTr="00C31D04">
                    <w:trPr>
                      <w:trHeight w:val="1242"/>
                    </w:trPr>
                    <w:tc>
                      <w:tcPr>
                        <w:tcW w:w="275" w:type="pct"/>
                        <w:vMerge w:val="restart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Lp.</w:t>
                        </w:r>
                      </w:p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84" w:type="pct"/>
                        <w:vMerge w:val="restart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 xml:space="preserve">Wyszczególnienie </w:t>
                        </w:r>
                      </w:p>
                    </w:tc>
                    <w:tc>
                      <w:tcPr>
                        <w:tcW w:w="1837" w:type="pct"/>
                        <w:gridSpan w:val="3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Koszt wytworzenia w ubiegłym roku</w:t>
                        </w:r>
                      </w:p>
                    </w:tc>
                    <w:tc>
                      <w:tcPr>
                        <w:tcW w:w="2004" w:type="pct"/>
                        <w:gridSpan w:val="3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Koszt wytworzenia w bieżącym roku</w:t>
                        </w:r>
                      </w:p>
                    </w:tc>
                  </w:tr>
                  <w:tr w:rsidR="00C31D04" w:rsidRPr="00A553A7" w:rsidTr="00C31D04">
                    <w:trPr>
                      <w:trHeight w:val="1242"/>
                    </w:trPr>
                    <w:tc>
                      <w:tcPr>
                        <w:tcW w:w="275" w:type="pct"/>
                        <w:vMerge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84" w:type="pct"/>
                        <w:vMerge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40" w:type="pct"/>
                        <w:vMerge w:val="restart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ogółem</w:t>
                        </w:r>
                      </w:p>
                    </w:tc>
                    <w:tc>
                      <w:tcPr>
                        <w:tcW w:w="1397" w:type="pct"/>
                        <w:gridSpan w:val="2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w tym:</w:t>
                        </w:r>
                      </w:p>
                    </w:tc>
                    <w:tc>
                      <w:tcPr>
                        <w:tcW w:w="735" w:type="pct"/>
                        <w:tcBorders>
                          <w:bottom w:val="nil"/>
                        </w:tcBorders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ogółem</w:t>
                        </w:r>
                      </w:p>
                    </w:tc>
                    <w:tc>
                      <w:tcPr>
                        <w:tcW w:w="1269" w:type="pct"/>
                        <w:gridSpan w:val="2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</w:p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18"/>
                            <w:szCs w:val="18"/>
                            <w:lang w:eastAsia="pl-PL"/>
                          </w:rPr>
                          <w:t>w tym:</w:t>
                        </w:r>
                      </w:p>
                    </w:tc>
                  </w:tr>
                  <w:tr w:rsidR="00C31D04" w:rsidRPr="00A553A7" w:rsidTr="00C31D04">
                    <w:tc>
                      <w:tcPr>
                        <w:tcW w:w="275" w:type="pct"/>
                        <w:vMerge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84" w:type="pct"/>
                        <w:vMerge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40" w:type="pct"/>
                        <w:vMerge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1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  <w:t>odsetki</w:t>
                        </w:r>
                      </w:p>
                    </w:tc>
                    <w:tc>
                      <w:tcPr>
                        <w:tcW w:w="736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  <w:t>różnice kursowe</w:t>
                        </w:r>
                      </w:p>
                    </w:tc>
                    <w:tc>
                      <w:tcPr>
                        <w:tcW w:w="735" w:type="pct"/>
                        <w:tcBorders>
                          <w:top w:val="nil"/>
                          <w:bottom w:val="nil"/>
                        </w:tcBorders>
                      </w:tcPr>
                      <w:p w:rsidR="00C31D04" w:rsidRPr="00A553A7" w:rsidRDefault="00C31D04" w:rsidP="00C31D04">
                        <w:pPr>
                          <w:spacing w:line="240" w:lineRule="auto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6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  <w:t>odsetki</w:t>
                        </w:r>
                      </w:p>
                    </w:tc>
                    <w:tc>
                      <w:tcPr>
                        <w:tcW w:w="813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  <w:t>różnice kursowe</w:t>
                        </w:r>
                      </w:p>
                    </w:tc>
                  </w:tr>
                  <w:tr w:rsidR="00C31D04" w:rsidRPr="00A553A7" w:rsidTr="00C31D04">
                    <w:tc>
                      <w:tcPr>
                        <w:tcW w:w="275" w:type="pct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1.</w:t>
                        </w:r>
                      </w:p>
                    </w:tc>
                    <w:tc>
                      <w:tcPr>
                        <w:tcW w:w="884" w:type="pct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40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1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736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735" w:type="pct"/>
                        <w:tcBorders>
                          <w:top w:val="nil"/>
                        </w:tcBorders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6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13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A553A7" w:rsidTr="00C31D04">
                    <w:tc>
                      <w:tcPr>
                        <w:tcW w:w="275" w:type="pct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2.</w:t>
                        </w:r>
                      </w:p>
                    </w:tc>
                    <w:tc>
                      <w:tcPr>
                        <w:tcW w:w="884" w:type="pct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40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1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736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735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6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13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  <w:tr w:rsidR="00C31D04" w:rsidRPr="00A553A7" w:rsidTr="00C31D04">
                    <w:tc>
                      <w:tcPr>
                        <w:tcW w:w="275" w:type="pct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84" w:type="pct"/>
                        <w:vAlign w:val="center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</w:pPr>
                        <w:r w:rsidRPr="00A553A7">
                          <w:rPr>
                            <w:rFonts w:eastAsia="Times New Roman" w:cs="Times New Roman"/>
                            <w:sz w:val="18"/>
                            <w:szCs w:val="18"/>
                            <w:lang w:eastAsia="pl-PL"/>
                          </w:rPr>
                          <w:t>Razem</w:t>
                        </w:r>
                      </w:p>
                    </w:tc>
                    <w:tc>
                      <w:tcPr>
                        <w:tcW w:w="440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661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736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735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456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  <w:tc>
                      <w:tcPr>
                        <w:tcW w:w="813" w:type="pct"/>
                      </w:tcPr>
                      <w:p w:rsidR="00C31D04" w:rsidRPr="00A553A7" w:rsidRDefault="00C31D04" w:rsidP="00C31D04">
                        <w:pPr>
                          <w:spacing w:line="240" w:lineRule="auto"/>
                          <w:jc w:val="center"/>
                          <w:rPr>
                            <w:rFonts w:eastAsia="Times New Roman" w:cs="Times New Roman"/>
                            <w:b/>
                            <w:sz w:val="20"/>
                            <w:szCs w:val="20"/>
                            <w:lang w:eastAsia="pl-PL"/>
                          </w:rPr>
                        </w:pPr>
                      </w:p>
                    </w:tc>
                  </w:tr>
                </w:tbl>
                <w:p w:rsidR="00C31D04" w:rsidRPr="00A553A7" w:rsidRDefault="00C31D04" w:rsidP="00C31D04">
                  <w:pPr>
                    <w:spacing w:line="240" w:lineRule="auto"/>
                    <w:rPr>
                      <w:rFonts w:eastAsia="Times New Roman" w:cs="Times New Roman"/>
                      <w:b/>
                      <w:szCs w:val="24"/>
                      <w:lang w:eastAsia="pl-PL"/>
                    </w:rPr>
                  </w:pPr>
                </w:p>
                <w:p w:rsidR="00C31D04" w:rsidRPr="005F4F1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</w:rPr>
                    <w:t xml:space="preserve">s) Punkt 2.3. </w:t>
                  </w:r>
                </w:p>
                <w:p w:rsidR="00C31D04" w:rsidRPr="005F4F1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  <w:b/>
                      <w:bCs/>
                      <w:i/>
                      <w:iCs/>
                    </w:rPr>
                    <w:t xml:space="preserve">Kwota i charakter poszczególnych pozycji przychodów lub kosztów o nadzwyczajnej wartości lub które wystąpiły incydentalnie. </w:t>
                  </w:r>
                </w:p>
                <w:p w:rsidR="00C31D04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</w:rPr>
                    <w:t>W powyższym punkcie należy wskazać przychody i koszty, które mają nadzwyczajną warto</w:t>
                  </w:r>
                  <w:r>
                    <w:rPr>
                      <w:rFonts w:cs="Times New Roman"/>
                    </w:rPr>
                    <w:t>ść lub wystąpiły incydentalnie.</w:t>
                  </w:r>
                </w:p>
                <w:p w:rsidR="00C31D04" w:rsidRPr="005F4F15" w:rsidRDefault="00C31D04" w:rsidP="00C31D04">
                  <w:pPr>
                    <w:jc w:val="both"/>
                    <w:rPr>
                      <w:rFonts w:cs="Times New Roman"/>
                    </w:rPr>
                  </w:pPr>
                </w:p>
                <w:p w:rsidR="00C31D04" w:rsidRPr="005F4F1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</w:rPr>
                    <w:t xml:space="preserve">t) Punkt 2.4. </w:t>
                  </w:r>
                </w:p>
                <w:p w:rsidR="00C31D04" w:rsidRPr="005F4F1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  <w:b/>
                      <w:bCs/>
                      <w:i/>
                      <w:iCs/>
                    </w:rPr>
                    <w:t xml:space="preserve">Kwota należności z tytułu podatków realizowanych przez organy podatkowe podległe ministrowi właściwemu do spraw finansów publicznych wykazywanych w sprawozdaniu z wykonania planu dochodów budżetowych. </w:t>
                  </w:r>
                </w:p>
                <w:p w:rsidR="00C31D04" w:rsidRPr="005F4F1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</w:rPr>
                    <w:t xml:space="preserve">Punkt nie dotyczy jednostek samorządu terytorialnego. </w:t>
                  </w:r>
                </w:p>
                <w:p w:rsidR="00C31D04" w:rsidRDefault="00C31D04" w:rsidP="00C31D04">
                  <w:pPr>
                    <w:jc w:val="both"/>
                    <w:rPr>
                      <w:rFonts w:cs="Times New Roman"/>
                    </w:rPr>
                  </w:pPr>
                </w:p>
                <w:p w:rsidR="00A51011" w:rsidRDefault="00A51011" w:rsidP="00C31D04">
                  <w:pPr>
                    <w:jc w:val="both"/>
                    <w:rPr>
                      <w:rFonts w:cs="Times New Roman"/>
                    </w:rPr>
                  </w:pPr>
                </w:p>
                <w:p w:rsidR="00A51011" w:rsidRPr="005F4F15" w:rsidRDefault="00A51011" w:rsidP="00C31D04">
                  <w:pPr>
                    <w:jc w:val="both"/>
                    <w:rPr>
                      <w:rFonts w:cs="Times New Roman"/>
                    </w:rPr>
                  </w:pPr>
                </w:p>
                <w:p w:rsidR="00C31D04" w:rsidRPr="005F4F1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</w:rPr>
                    <w:lastRenderedPageBreak/>
                    <w:t xml:space="preserve">u) Punkt 2.5. </w:t>
                  </w:r>
                </w:p>
                <w:p w:rsidR="00C31D04" w:rsidRPr="005F4F1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  <w:b/>
                      <w:bCs/>
                      <w:i/>
                      <w:iCs/>
                    </w:rPr>
                    <w:t xml:space="preserve">Inne informacje. </w:t>
                  </w:r>
                </w:p>
                <w:p w:rsidR="00C31D04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</w:rPr>
                    <w:t>W powyższym punkcie należy przedstawić inne</w:t>
                  </w:r>
                  <w:r w:rsidR="00AF11FC">
                    <w:rPr>
                      <w:rFonts w:cs="Times New Roman"/>
                    </w:rPr>
                    <w:t xml:space="preserve"> dane dotyczące wyniku finansowego, które mogą się przyczynić do zrozumienia sytuacji jednostki, to należy je tu ujawnić.</w:t>
                  </w:r>
                </w:p>
                <w:p w:rsidR="00C31D04" w:rsidRPr="005F4F15" w:rsidRDefault="00C31D04" w:rsidP="00C31D04">
                  <w:pPr>
                    <w:jc w:val="both"/>
                    <w:rPr>
                      <w:rFonts w:cs="Times New Roman"/>
                    </w:rPr>
                  </w:pPr>
                </w:p>
                <w:p w:rsidR="00C31D04" w:rsidRPr="005F4F15" w:rsidRDefault="00A51011" w:rsidP="00C31D04">
                  <w:pPr>
                    <w:jc w:val="both"/>
                    <w:rPr>
                      <w:rFonts w:cs="Times New Roman"/>
                    </w:rPr>
                  </w:pPr>
                  <w:r>
                    <w:rPr>
                      <w:rFonts w:cs="Times New Roman"/>
                    </w:rPr>
                    <w:t>w</w:t>
                  </w:r>
                  <w:r w:rsidR="00C31D04" w:rsidRPr="005F4F15">
                    <w:rPr>
                      <w:rFonts w:cs="Times New Roman"/>
                    </w:rPr>
                    <w:t xml:space="preserve">) Punkt 3. </w:t>
                  </w:r>
                </w:p>
                <w:p w:rsidR="00C31D04" w:rsidRPr="005F4F1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  <w:b/>
                      <w:bCs/>
                      <w:i/>
                      <w:iCs/>
                    </w:rPr>
                    <w:t xml:space="preserve">Inne informacje niż wymienione powyżej, jeżeli mogłyby w istotny sposób wpłynąć na ocenę sytuacji majątkowej i finansowej oraz wynik finansowy jednostki. </w:t>
                  </w:r>
                </w:p>
                <w:p w:rsidR="00C31D04" w:rsidRPr="00357E25" w:rsidRDefault="00C31D04" w:rsidP="00C31D04">
                  <w:pPr>
                    <w:jc w:val="both"/>
                    <w:rPr>
                      <w:rFonts w:cs="Times New Roman"/>
                    </w:rPr>
                  </w:pPr>
                  <w:r w:rsidRPr="005F4F15">
                    <w:rPr>
                      <w:rFonts w:cs="Times New Roman"/>
                    </w:rPr>
                    <w:t xml:space="preserve">W punkcie tym </w:t>
                  </w:r>
                  <w:r w:rsidR="00AF11FC">
                    <w:rPr>
                      <w:rFonts w:cs="Times New Roman"/>
                    </w:rPr>
                    <w:t>można wskazać dane dotychczas nieprzedstawione m.in. informacje o skutkach błędów z poprzednich lat, zdarzeniach</w:t>
                  </w:r>
                  <w:r w:rsidRPr="005F4F15">
                    <w:rPr>
                      <w:rFonts w:cs="Times New Roman"/>
                    </w:rPr>
                    <w:t>, które wystąpiły po dniu bilansowym, a w sposób istotny wpływają na sytuację majątkową i finansową jedno</w:t>
                  </w:r>
                  <w:r>
                    <w:rPr>
                      <w:rFonts w:cs="Times New Roman"/>
                    </w:rPr>
                    <w:t xml:space="preserve">stki. </w:t>
                  </w:r>
                  <w:bookmarkStart w:id="0" w:name="_GoBack"/>
                  <w:bookmarkEnd w:id="0"/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8793"/>
                  </w:tblGrid>
                  <w:tr w:rsidR="00C31D04" w:rsidRPr="00357E25" w:rsidTr="00C31D04">
                    <w:trPr>
                      <w:trHeight w:val="99"/>
                    </w:trPr>
                    <w:tc>
                      <w:tcPr>
                        <w:tcW w:w="9009" w:type="dxa"/>
                      </w:tcPr>
                      <w:p w:rsidR="00C31D04" w:rsidRPr="00357E25" w:rsidRDefault="00C31D04" w:rsidP="00C31D04">
                        <w:pPr>
                          <w:ind w:left="708"/>
                          <w:jc w:val="both"/>
                          <w:rPr>
                            <w:rFonts w:cs="Times New Roman"/>
                          </w:rPr>
                        </w:pPr>
                      </w:p>
                    </w:tc>
                  </w:tr>
                </w:tbl>
                <w:p w:rsidR="00357E25" w:rsidRPr="00357E25" w:rsidRDefault="00357E25" w:rsidP="00357E25">
                  <w:pPr>
                    <w:ind w:left="708"/>
                    <w:jc w:val="both"/>
                    <w:rPr>
                      <w:rFonts w:cs="Times New Roman"/>
                    </w:rPr>
                  </w:pPr>
                </w:p>
              </w:tc>
            </w:tr>
            <w:tr w:rsidR="00357E25" w:rsidRPr="00357E25" w:rsidTr="00C31D04">
              <w:trPr>
                <w:trHeight w:val="99"/>
              </w:trPr>
              <w:tc>
                <w:tcPr>
                  <w:tcW w:w="9009" w:type="dxa"/>
                </w:tcPr>
                <w:p w:rsidR="00357E25" w:rsidRPr="00357E25" w:rsidRDefault="00357E25" w:rsidP="00357E25">
                  <w:pPr>
                    <w:ind w:left="708"/>
                    <w:jc w:val="both"/>
                    <w:rPr>
                      <w:rFonts w:cs="Times New Roman"/>
                    </w:rPr>
                  </w:pPr>
                </w:p>
              </w:tc>
            </w:tr>
          </w:tbl>
          <w:p w:rsidR="00C95F80" w:rsidRPr="00C95F80" w:rsidRDefault="00C95F80" w:rsidP="00C95F80">
            <w:pPr>
              <w:ind w:left="708"/>
              <w:jc w:val="both"/>
              <w:rPr>
                <w:rFonts w:cs="Times New Roman"/>
              </w:rPr>
            </w:pPr>
          </w:p>
        </w:tc>
      </w:tr>
    </w:tbl>
    <w:p w:rsidR="001D35AE" w:rsidRDefault="001D35AE" w:rsidP="00C52DA9">
      <w:pPr>
        <w:spacing w:line="240" w:lineRule="auto"/>
        <w:rPr>
          <w:rFonts w:eastAsia="Times New Roman" w:cs="Times New Roman"/>
          <w:color w:val="FF0000"/>
          <w:szCs w:val="24"/>
          <w:lang w:eastAsia="pl-PL"/>
        </w:rPr>
      </w:pPr>
    </w:p>
    <w:sectPr w:rsidR="001D35AE" w:rsidSect="00D60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0F32F0"/>
    <w:multiLevelType w:val="hybridMultilevel"/>
    <w:tmpl w:val="C98C79BC"/>
    <w:lvl w:ilvl="0" w:tplc="35CE6A4E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4105853"/>
    <w:multiLevelType w:val="hybridMultilevel"/>
    <w:tmpl w:val="716CC2A2"/>
    <w:lvl w:ilvl="0" w:tplc="0415000F">
      <w:start w:val="1"/>
      <w:numFmt w:val="decimal"/>
      <w:lvlText w:val="%1."/>
      <w:lvlJc w:val="left"/>
      <w:pPr>
        <w:ind w:left="1665" w:hanging="360"/>
      </w:pPr>
    </w:lvl>
    <w:lvl w:ilvl="1" w:tplc="04150019" w:tentative="1">
      <w:start w:val="1"/>
      <w:numFmt w:val="lowerLetter"/>
      <w:lvlText w:val="%2."/>
      <w:lvlJc w:val="left"/>
      <w:pPr>
        <w:ind w:left="2385" w:hanging="360"/>
      </w:pPr>
    </w:lvl>
    <w:lvl w:ilvl="2" w:tplc="0415001B" w:tentative="1">
      <w:start w:val="1"/>
      <w:numFmt w:val="lowerRoman"/>
      <w:lvlText w:val="%3."/>
      <w:lvlJc w:val="right"/>
      <w:pPr>
        <w:ind w:left="3105" w:hanging="180"/>
      </w:pPr>
    </w:lvl>
    <w:lvl w:ilvl="3" w:tplc="0415000F" w:tentative="1">
      <w:start w:val="1"/>
      <w:numFmt w:val="decimal"/>
      <w:lvlText w:val="%4."/>
      <w:lvlJc w:val="left"/>
      <w:pPr>
        <w:ind w:left="3825" w:hanging="360"/>
      </w:pPr>
    </w:lvl>
    <w:lvl w:ilvl="4" w:tplc="04150019" w:tentative="1">
      <w:start w:val="1"/>
      <w:numFmt w:val="lowerLetter"/>
      <w:lvlText w:val="%5."/>
      <w:lvlJc w:val="left"/>
      <w:pPr>
        <w:ind w:left="4545" w:hanging="360"/>
      </w:pPr>
    </w:lvl>
    <w:lvl w:ilvl="5" w:tplc="0415001B" w:tentative="1">
      <w:start w:val="1"/>
      <w:numFmt w:val="lowerRoman"/>
      <w:lvlText w:val="%6."/>
      <w:lvlJc w:val="right"/>
      <w:pPr>
        <w:ind w:left="5265" w:hanging="180"/>
      </w:pPr>
    </w:lvl>
    <w:lvl w:ilvl="6" w:tplc="0415000F" w:tentative="1">
      <w:start w:val="1"/>
      <w:numFmt w:val="decimal"/>
      <w:lvlText w:val="%7."/>
      <w:lvlJc w:val="left"/>
      <w:pPr>
        <w:ind w:left="5985" w:hanging="360"/>
      </w:pPr>
    </w:lvl>
    <w:lvl w:ilvl="7" w:tplc="04150019" w:tentative="1">
      <w:start w:val="1"/>
      <w:numFmt w:val="lowerLetter"/>
      <w:lvlText w:val="%8."/>
      <w:lvlJc w:val="left"/>
      <w:pPr>
        <w:ind w:left="6705" w:hanging="360"/>
      </w:pPr>
    </w:lvl>
    <w:lvl w:ilvl="8" w:tplc="0415001B" w:tentative="1">
      <w:start w:val="1"/>
      <w:numFmt w:val="lowerRoman"/>
      <w:lvlText w:val="%9."/>
      <w:lvlJc w:val="right"/>
      <w:pPr>
        <w:ind w:left="7425" w:hanging="180"/>
      </w:pPr>
    </w:lvl>
  </w:abstractNum>
  <w:abstractNum w:abstractNumId="2" w15:restartNumberingAfterBreak="0">
    <w:nsid w:val="169D4162"/>
    <w:multiLevelType w:val="hybridMultilevel"/>
    <w:tmpl w:val="4AA28D04"/>
    <w:lvl w:ilvl="0" w:tplc="04150011">
      <w:start w:val="1"/>
      <w:numFmt w:val="decimal"/>
      <w:lvlText w:val="%1)"/>
      <w:lvlJc w:val="left"/>
      <w:pPr>
        <w:ind w:left="13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28" w:hanging="360"/>
      </w:pPr>
    </w:lvl>
    <w:lvl w:ilvl="2" w:tplc="0415001B" w:tentative="1">
      <w:start w:val="1"/>
      <w:numFmt w:val="lowerRoman"/>
      <w:lvlText w:val="%3."/>
      <w:lvlJc w:val="right"/>
      <w:pPr>
        <w:ind w:left="2748" w:hanging="180"/>
      </w:pPr>
    </w:lvl>
    <w:lvl w:ilvl="3" w:tplc="0415000F" w:tentative="1">
      <w:start w:val="1"/>
      <w:numFmt w:val="decimal"/>
      <w:lvlText w:val="%4."/>
      <w:lvlJc w:val="left"/>
      <w:pPr>
        <w:ind w:left="3468" w:hanging="360"/>
      </w:pPr>
    </w:lvl>
    <w:lvl w:ilvl="4" w:tplc="04150019" w:tentative="1">
      <w:start w:val="1"/>
      <w:numFmt w:val="lowerLetter"/>
      <w:lvlText w:val="%5."/>
      <w:lvlJc w:val="left"/>
      <w:pPr>
        <w:ind w:left="4188" w:hanging="360"/>
      </w:pPr>
    </w:lvl>
    <w:lvl w:ilvl="5" w:tplc="0415001B" w:tentative="1">
      <w:start w:val="1"/>
      <w:numFmt w:val="lowerRoman"/>
      <w:lvlText w:val="%6."/>
      <w:lvlJc w:val="right"/>
      <w:pPr>
        <w:ind w:left="4908" w:hanging="180"/>
      </w:pPr>
    </w:lvl>
    <w:lvl w:ilvl="6" w:tplc="0415000F" w:tentative="1">
      <w:start w:val="1"/>
      <w:numFmt w:val="decimal"/>
      <w:lvlText w:val="%7."/>
      <w:lvlJc w:val="left"/>
      <w:pPr>
        <w:ind w:left="5628" w:hanging="360"/>
      </w:pPr>
    </w:lvl>
    <w:lvl w:ilvl="7" w:tplc="04150019" w:tentative="1">
      <w:start w:val="1"/>
      <w:numFmt w:val="lowerLetter"/>
      <w:lvlText w:val="%8."/>
      <w:lvlJc w:val="left"/>
      <w:pPr>
        <w:ind w:left="6348" w:hanging="360"/>
      </w:pPr>
    </w:lvl>
    <w:lvl w:ilvl="8" w:tplc="0415001B" w:tentative="1">
      <w:start w:val="1"/>
      <w:numFmt w:val="lowerRoman"/>
      <w:lvlText w:val="%9."/>
      <w:lvlJc w:val="right"/>
      <w:pPr>
        <w:ind w:left="706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5F3"/>
    <w:rsid w:val="0000238F"/>
    <w:rsid w:val="00012F76"/>
    <w:rsid w:val="00025514"/>
    <w:rsid w:val="0003550A"/>
    <w:rsid w:val="0003713C"/>
    <w:rsid w:val="00055263"/>
    <w:rsid w:val="00057EB5"/>
    <w:rsid w:val="00060CFC"/>
    <w:rsid w:val="000636EE"/>
    <w:rsid w:val="0007280E"/>
    <w:rsid w:val="00095CEF"/>
    <w:rsid w:val="000A1CD6"/>
    <w:rsid w:val="000A2A23"/>
    <w:rsid w:val="000D2FB3"/>
    <w:rsid w:val="000F32DF"/>
    <w:rsid w:val="001352C3"/>
    <w:rsid w:val="001359AB"/>
    <w:rsid w:val="00141DF9"/>
    <w:rsid w:val="00142A46"/>
    <w:rsid w:val="0015147B"/>
    <w:rsid w:val="001674AA"/>
    <w:rsid w:val="00172787"/>
    <w:rsid w:val="00173C57"/>
    <w:rsid w:val="001A602D"/>
    <w:rsid w:val="001C0F58"/>
    <w:rsid w:val="001C7D5B"/>
    <w:rsid w:val="001D35AE"/>
    <w:rsid w:val="001F1C1E"/>
    <w:rsid w:val="00261C60"/>
    <w:rsid w:val="00262FAB"/>
    <w:rsid w:val="00285B6B"/>
    <w:rsid w:val="002C0DAF"/>
    <w:rsid w:val="002D45D3"/>
    <w:rsid w:val="002D6DAC"/>
    <w:rsid w:val="002D6EAE"/>
    <w:rsid w:val="002E339A"/>
    <w:rsid w:val="002E61CA"/>
    <w:rsid w:val="002F6E1A"/>
    <w:rsid w:val="00302776"/>
    <w:rsid w:val="00312144"/>
    <w:rsid w:val="0031699B"/>
    <w:rsid w:val="003226BC"/>
    <w:rsid w:val="00334A6E"/>
    <w:rsid w:val="003374CA"/>
    <w:rsid w:val="00342349"/>
    <w:rsid w:val="003552FA"/>
    <w:rsid w:val="00357E25"/>
    <w:rsid w:val="00360952"/>
    <w:rsid w:val="003644D2"/>
    <w:rsid w:val="00385543"/>
    <w:rsid w:val="00387E7A"/>
    <w:rsid w:val="00392197"/>
    <w:rsid w:val="003A4648"/>
    <w:rsid w:val="003D2043"/>
    <w:rsid w:val="00401036"/>
    <w:rsid w:val="0042598F"/>
    <w:rsid w:val="00433B80"/>
    <w:rsid w:val="00445EA2"/>
    <w:rsid w:val="0045243D"/>
    <w:rsid w:val="004631A6"/>
    <w:rsid w:val="00486299"/>
    <w:rsid w:val="004A5037"/>
    <w:rsid w:val="004B4D9C"/>
    <w:rsid w:val="004C52B5"/>
    <w:rsid w:val="004D4831"/>
    <w:rsid w:val="004D692B"/>
    <w:rsid w:val="004E7626"/>
    <w:rsid w:val="005003A5"/>
    <w:rsid w:val="00505840"/>
    <w:rsid w:val="00516A33"/>
    <w:rsid w:val="00521C08"/>
    <w:rsid w:val="00530F4E"/>
    <w:rsid w:val="005362A8"/>
    <w:rsid w:val="0053764D"/>
    <w:rsid w:val="00571F08"/>
    <w:rsid w:val="00577684"/>
    <w:rsid w:val="00577D08"/>
    <w:rsid w:val="00580812"/>
    <w:rsid w:val="005B1BC2"/>
    <w:rsid w:val="005D0190"/>
    <w:rsid w:val="005D383F"/>
    <w:rsid w:val="005E0F18"/>
    <w:rsid w:val="005F4F15"/>
    <w:rsid w:val="00606104"/>
    <w:rsid w:val="0061642D"/>
    <w:rsid w:val="006216BC"/>
    <w:rsid w:val="006426AD"/>
    <w:rsid w:val="006547BC"/>
    <w:rsid w:val="006772B0"/>
    <w:rsid w:val="00692C56"/>
    <w:rsid w:val="00692E94"/>
    <w:rsid w:val="00696AA5"/>
    <w:rsid w:val="006A4D1A"/>
    <w:rsid w:val="006C0FBA"/>
    <w:rsid w:val="006C6503"/>
    <w:rsid w:val="006D3334"/>
    <w:rsid w:val="006F4C42"/>
    <w:rsid w:val="00735605"/>
    <w:rsid w:val="00761A2E"/>
    <w:rsid w:val="0080402C"/>
    <w:rsid w:val="00810BD1"/>
    <w:rsid w:val="008325F3"/>
    <w:rsid w:val="00834376"/>
    <w:rsid w:val="00853068"/>
    <w:rsid w:val="008547C7"/>
    <w:rsid w:val="00857012"/>
    <w:rsid w:val="00861F56"/>
    <w:rsid w:val="00880A30"/>
    <w:rsid w:val="00882E49"/>
    <w:rsid w:val="008838B5"/>
    <w:rsid w:val="00884E63"/>
    <w:rsid w:val="008912F5"/>
    <w:rsid w:val="00891DC5"/>
    <w:rsid w:val="008A7DE0"/>
    <w:rsid w:val="008D0A04"/>
    <w:rsid w:val="008F53D6"/>
    <w:rsid w:val="0091584D"/>
    <w:rsid w:val="00925837"/>
    <w:rsid w:val="00937F63"/>
    <w:rsid w:val="009630F9"/>
    <w:rsid w:val="0097445E"/>
    <w:rsid w:val="00974604"/>
    <w:rsid w:val="00976123"/>
    <w:rsid w:val="009A26AB"/>
    <w:rsid w:val="009A48C6"/>
    <w:rsid w:val="009C12D1"/>
    <w:rsid w:val="009F6B9F"/>
    <w:rsid w:val="00A215F5"/>
    <w:rsid w:val="00A237BD"/>
    <w:rsid w:val="00A2559C"/>
    <w:rsid w:val="00A42D3A"/>
    <w:rsid w:val="00A51011"/>
    <w:rsid w:val="00A5338E"/>
    <w:rsid w:val="00A57453"/>
    <w:rsid w:val="00A60BCB"/>
    <w:rsid w:val="00A637BE"/>
    <w:rsid w:val="00A85803"/>
    <w:rsid w:val="00A92D78"/>
    <w:rsid w:val="00AA0EF0"/>
    <w:rsid w:val="00AA4D6C"/>
    <w:rsid w:val="00AB3670"/>
    <w:rsid w:val="00AC062C"/>
    <w:rsid w:val="00AC3F0B"/>
    <w:rsid w:val="00AD3C21"/>
    <w:rsid w:val="00AD652C"/>
    <w:rsid w:val="00AE2F72"/>
    <w:rsid w:val="00AF11FC"/>
    <w:rsid w:val="00B10290"/>
    <w:rsid w:val="00B27949"/>
    <w:rsid w:val="00B41D19"/>
    <w:rsid w:val="00B45673"/>
    <w:rsid w:val="00B76EDA"/>
    <w:rsid w:val="00B80875"/>
    <w:rsid w:val="00B86345"/>
    <w:rsid w:val="00BA6906"/>
    <w:rsid w:val="00BB570E"/>
    <w:rsid w:val="00BC3D11"/>
    <w:rsid w:val="00BC42DC"/>
    <w:rsid w:val="00BF0E9D"/>
    <w:rsid w:val="00C0046E"/>
    <w:rsid w:val="00C3029A"/>
    <w:rsid w:val="00C31D04"/>
    <w:rsid w:val="00C3756F"/>
    <w:rsid w:val="00C52DA9"/>
    <w:rsid w:val="00C77FDC"/>
    <w:rsid w:val="00C86A2D"/>
    <w:rsid w:val="00C95F80"/>
    <w:rsid w:val="00CA6149"/>
    <w:rsid w:val="00CB2638"/>
    <w:rsid w:val="00CC132D"/>
    <w:rsid w:val="00D11CFF"/>
    <w:rsid w:val="00D21AF9"/>
    <w:rsid w:val="00D405EE"/>
    <w:rsid w:val="00D40BD7"/>
    <w:rsid w:val="00D4175B"/>
    <w:rsid w:val="00D4207B"/>
    <w:rsid w:val="00D601C0"/>
    <w:rsid w:val="00D611EE"/>
    <w:rsid w:val="00D94D00"/>
    <w:rsid w:val="00DA1233"/>
    <w:rsid w:val="00DA1865"/>
    <w:rsid w:val="00E054D5"/>
    <w:rsid w:val="00E357A0"/>
    <w:rsid w:val="00E41F49"/>
    <w:rsid w:val="00E61442"/>
    <w:rsid w:val="00E83F03"/>
    <w:rsid w:val="00E86190"/>
    <w:rsid w:val="00E86585"/>
    <w:rsid w:val="00EC7023"/>
    <w:rsid w:val="00ED381A"/>
    <w:rsid w:val="00ED5A0C"/>
    <w:rsid w:val="00ED6227"/>
    <w:rsid w:val="00EF4A43"/>
    <w:rsid w:val="00F21DE9"/>
    <w:rsid w:val="00F26223"/>
    <w:rsid w:val="00F35C8C"/>
    <w:rsid w:val="00F37B8E"/>
    <w:rsid w:val="00F708D0"/>
    <w:rsid w:val="00F84FC1"/>
    <w:rsid w:val="00FA2434"/>
    <w:rsid w:val="00FA2EA2"/>
    <w:rsid w:val="00FB5462"/>
    <w:rsid w:val="00FE7904"/>
    <w:rsid w:val="00FF5F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2B3863-57C6-45C9-8B0E-60A74AAE0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2E4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B546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546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92E94"/>
    <w:pPr>
      <w:autoSpaceDE w:val="0"/>
      <w:autoSpaceDN w:val="0"/>
      <w:adjustRightInd w:val="0"/>
      <w:spacing w:line="240" w:lineRule="auto"/>
    </w:pPr>
    <w:rPr>
      <w:rFonts w:cs="Times New Roman"/>
      <w:color w:val="000000"/>
      <w:szCs w:val="24"/>
    </w:rPr>
  </w:style>
  <w:style w:type="paragraph" w:styleId="NormalnyWeb">
    <w:name w:val="Normal (Web)"/>
    <w:basedOn w:val="Normalny"/>
    <w:rsid w:val="00EF4A43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D2FB1-FD23-476C-A76A-7BD23FF08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2023</Words>
  <Characters>12141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Bożena Ćwiklińska</dc:creator>
  <cp:lastModifiedBy>Jakub Górny</cp:lastModifiedBy>
  <cp:revision>2</cp:revision>
  <cp:lastPrinted>2019-01-30T06:43:00Z</cp:lastPrinted>
  <dcterms:created xsi:type="dcterms:W3CDTF">2019-02-11T11:30:00Z</dcterms:created>
  <dcterms:modified xsi:type="dcterms:W3CDTF">2019-02-11T11:30:00Z</dcterms:modified>
</cp:coreProperties>
</file>